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688" w:rsidRDefault="00522688">
      <w:pPr>
        <w:rPr>
          <w:b/>
        </w:rPr>
      </w:pPr>
    </w:p>
    <w:p w:rsidR="00522688" w:rsidRDefault="004E4FBB">
      <w:bookmarkStart w:id="0" w:name="_GoBack"/>
      <w:bookmarkEnd w:id="0"/>
      <w:r>
        <w:rPr>
          <w:noProof/>
        </w:rPr>
        <w:drawing>
          <wp:anchor distT="0" distB="0" distL="114300" distR="114300" simplePos="0" relativeHeight="251658240" behindDoc="0" locked="0" layoutInCell="1" hidden="0" allowOverlap="1">
            <wp:simplePos x="0" y="0"/>
            <wp:positionH relativeFrom="column">
              <wp:posOffset>2295207</wp:posOffset>
            </wp:positionH>
            <wp:positionV relativeFrom="paragraph">
              <wp:posOffset>169545</wp:posOffset>
            </wp:positionV>
            <wp:extent cx="1079500" cy="1097280"/>
            <wp:effectExtent l="0" t="0" r="0" b="0"/>
            <wp:wrapTopAndBottom distT="0" distB="0"/>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079500" cy="1097280"/>
                    </a:xfrm>
                    <a:prstGeom prst="rect">
                      <a:avLst/>
                    </a:prstGeom>
                    <a:ln/>
                  </pic:spPr>
                </pic:pic>
              </a:graphicData>
            </a:graphic>
          </wp:anchor>
        </w:drawing>
      </w:r>
    </w:p>
    <w:p w:rsidR="00522688" w:rsidRDefault="00522688">
      <w:pPr>
        <w:jc w:val="center"/>
        <w:rPr>
          <w:b/>
          <w:highlight w:val="yellow"/>
        </w:rPr>
      </w:pPr>
    </w:p>
    <w:p w:rsidR="00522688" w:rsidRDefault="00522688">
      <w:pPr>
        <w:jc w:val="center"/>
        <w:rPr>
          <w:b/>
          <w:highlight w:val="yellow"/>
        </w:rPr>
      </w:pPr>
    </w:p>
    <w:p w:rsidR="00522688" w:rsidRDefault="004E4FBB">
      <w:pPr>
        <w:jc w:val="center"/>
        <w:rPr>
          <w:b/>
        </w:rPr>
      </w:pPr>
      <w:r>
        <w:rPr>
          <w:b/>
          <w:highlight w:val="yellow"/>
        </w:rPr>
        <w:t>CONCURSO DE MÉRITOS ABIERTO No. IDU-CMA-XXX-XXXX-202X</w:t>
      </w:r>
    </w:p>
    <w:p w:rsidR="00522688" w:rsidRDefault="00522688">
      <w:pPr>
        <w:jc w:val="center"/>
        <w:rPr>
          <w:b/>
        </w:rPr>
      </w:pPr>
    </w:p>
    <w:p w:rsidR="00522688" w:rsidRDefault="00522688">
      <w:pPr>
        <w:jc w:val="center"/>
        <w:rPr>
          <w:b/>
        </w:rPr>
      </w:pPr>
    </w:p>
    <w:p w:rsidR="00522688" w:rsidRDefault="004E4FBB">
      <w:pPr>
        <w:jc w:val="center"/>
        <w:rPr>
          <w:b/>
          <w:highlight w:val="yellow"/>
        </w:rPr>
      </w:pPr>
      <w:r>
        <w:rPr>
          <w:b/>
          <w:highlight w:val="yellow"/>
        </w:rPr>
        <w:t>PLIEGO MODELO</w:t>
      </w:r>
    </w:p>
    <w:p w:rsidR="00522688" w:rsidRDefault="004E4FBB">
      <w:pPr>
        <w:jc w:val="center"/>
        <w:rPr>
          <w:b/>
          <w:highlight w:val="yellow"/>
        </w:rPr>
      </w:pPr>
      <w:r>
        <w:rPr>
          <w:b/>
          <w:highlight w:val="yellow"/>
        </w:rPr>
        <w:t>CONCURSO DE MÉRITOS ABIERTO</w:t>
      </w:r>
    </w:p>
    <w:p w:rsidR="00522688" w:rsidRDefault="004E4FBB">
      <w:pPr>
        <w:jc w:val="center"/>
        <w:rPr>
          <w:b/>
        </w:rPr>
      </w:pPr>
      <w:r>
        <w:rPr>
          <w:b/>
          <w:highlight w:val="yellow"/>
        </w:rPr>
        <w:t>(APLICA PARA CONSULTORIAS IDU)</w:t>
      </w:r>
    </w:p>
    <w:p w:rsidR="00522688" w:rsidRDefault="00522688">
      <w:pPr>
        <w:jc w:val="center"/>
        <w:rPr>
          <w:b/>
        </w:rPr>
      </w:pPr>
    </w:p>
    <w:p w:rsidR="00522688" w:rsidRDefault="004E4FBB">
      <w:pPr>
        <w:jc w:val="center"/>
        <w:rPr>
          <w:b/>
        </w:rPr>
      </w:pPr>
      <w:r>
        <w:rPr>
          <w:b/>
          <w:highlight w:val="yellow"/>
        </w:rPr>
        <w:t>XXXXXXXXXXXXXXXXXXXXXXX(OBJETO)XXXXXXXXXXXXXXXXXXXXXXXXX</w:t>
      </w:r>
    </w:p>
    <w:p w:rsidR="00522688" w:rsidRDefault="00522688">
      <w:pPr>
        <w:jc w:val="center"/>
        <w:rPr>
          <w:b/>
        </w:rPr>
      </w:pPr>
    </w:p>
    <w:p w:rsidR="00522688" w:rsidRDefault="004E4FBB">
      <w:pPr>
        <w:jc w:val="center"/>
        <w:rPr>
          <w:b/>
        </w:rPr>
      </w:pPr>
      <w:r>
        <w:rPr>
          <w:b/>
          <w:highlight w:val="yellow"/>
        </w:rPr>
        <w:t>PROYECTO DE PLIEGO DE CONDICIONES / PLIEGO DE CONDICIONES DEFINITIVO</w:t>
      </w:r>
    </w:p>
    <w:p w:rsidR="00522688" w:rsidRDefault="00522688">
      <w:pPr>
        <w:jc w:val="center"/>
        <w:rPr>
          <w:b/>
        </w:rPr>
      </w:pPr>
    </w:p>
    <w:p w:rsidR="00522688" w:rsidRDefault="00522688">
      <w:pPr>
        <w:jc w:val="center"/>
        <w:rPr>
          <w:b/>
        </w:rPr>
      </w:pPr>
    </w:p>
    <w:p w:rsidR="00522688" w:rsidRDefault="004E4FBB">
      <w:pPr>
        <w:rPr>
          <w:b/>
          <w:highlight w:val="yellow"/>
        </w:rPr>
      </w:pPr>
      <w:r>
        <w:rPr>
          <w:b/>
          <w:highlight w:val="yellow"/>
        </w:rPr>
        <w:t xml:space="preserve">ESTE PROYECTO DE PLIEGO DE CONDICIONES SE PUBLICA EN SECOP II DURANTE EL TÉRMINO DE 5 DÍAS HÁBILES COMPRENDIDOS ENTRE EL XX Y EL XX DE XXXXXXXXXX DE XXXX, TÉRMINO DURANTE EL CUAL QUIEN </w:t>
      </w:r>
      <w:r>
        <w:rPr>
          <w:b/>
          <w:highlight w:val="yellow"/>
        </w:rPr>
        <w:t>ESTÉ INTERESADO Y LAS VEEDURÍAS CIUDADANAS PODRÁN FORMULAR OBSERVACIONES A SU CONTENIDO, DE CONFORMIDAD CON LO ESTABLECIDO EN EL ARTÍCULO 8º DE LA LEY 1150 DE 2007 Y ARTICULO 2.2.1.1.2.1.4. DEL DECRETO 1082 DE 2015. LAS OBSERVACIONES PODRÁN PRESENTARSE POR</w:t>
      </w:r>
      <w:r>
        <w:rPr>
          <w:b/>
          <w:highlight w:val="yellow"/>
        </w:rPr>
        <w:t xml:space="preserve"> INTERNET (en el sitio </w:t>
      </w:r>
      <w:hyperlink r:id="rId9">
        <w:r>
          <w:rPr>
            <w:b/>
            <w:color w:val="0563C1"/>
            <w:highlight w:val="yellow"/>
            <w:u w:val="single"/>
          </w:rPr>
          <w:t>https://www.colombiacompra.gov.co/secop-ii</w:t>
        </w:r>
      </w:hyperlink>
      <w:r>
        <w:rPr>
          <w:b/>
          <w:highlight w:val="yellow"/>
        </w:rPr>
        <w:t>).</w:t>
      </w:r>
    </w:p>
    <w:p w:rsidR="00522688" w:rsidRDefault="00522688">
      <w:pPr>
        <w:rPr>
          <w:b/>
          <w:highlight w:val="yellow"/>
        </w:rPr>
      </w:pPr>
    </w:p>
    <w:p w:rsidR="00522688" w:rsidRDefault="004E4FBB">
      <w:pPr>
        <w:rPr>
          <w:b/>
        </w:rPr>
      </w:pPr>
      <w:r>
        <w:rPr>
          <w:b/>
          <w:highlight w:val="yellow"/>
        </w:rPr>
        <w:t>LA PUBLICACIÓN DE ESTE PROYECTO DE PLIEGO DE CONDICIONES NO GENERA OBLIGACIÓN PARA EL IDU DE DAR APERTURA AL PROCESO DE SELEC</w:t>
      </w:r>
      <w:r>
        <w:rPr>
          <w:b/>
          <w:highlight w:val="yellow"/>
        </w:rPr>
        <w:t xml:space="preserve">CIÓN (INCISO 2, ARTÍCULO 8º, LEY 1150 DE 2007 Y DE ACUERDO AL REGLAMENTO VIGENTE). SI EL IDU RESUELVE ADELANTAR EL PROCESO, EL TEXTO DEFINITIVO PODRÁ SER CONSULTADO A PARTIR DE LA FECHA DE APERTURA RESPECTIVA, EN LA PAGINA WEB </w:t>
      </w:r>
      <w:hyperlink r:id="rId10">
        <w:r>
          <w:rPr>
            <w:b/>
            <w:color w:val="0563C1"/>
            <w:highlight w:val="yellow"/>
            <w:u w:val="single"/>
          </w:rPr>
          <w:t>https://www.colombiacompra.gov.co/secop-ii</w:t>
        </w:r>
      </w:hyperlink>
      <w:r>
        <w:rPr>
          <w:b/>
          <w:highlight w:val="yellow"/>
        </w:rPr>
        <w:t>.</w:t>
      </w:r>
    </w:p>
    <w:p w:rsidR="00522688" w:rsidRDefault="00522688">
      <w:pPr>
        <w:jc w:val="center"/>
        <w:rPr>
          <w:b/>
        </w:rPr>
      </w:pPr>
    </w:p>
    <w:p w:rsidR="00522688" w:rsidRDefault="00522688">
      <w:pPr>
        <w:jc w:val="center"/>
        <w:rPr>
          <w:b/>
        </w:rPr>
      </w:pPr>
    </w:p>
    <w:p w:rsidR="00522688" w:rsidRDefault="00522688">
      <w:pPr>
        <w:jc w:val="center"/>
        <w:rPr>
          <w:b/>
        </w:rPr>
      </w:pPr>
    </w:p>
    <w:p w:rsidR="00522688" w:rsidRDefault="004E4FBB">
      <w:pPr>
        <w:jc w:val="center"/>
      </w:pPr>
      <w:r>
        <w:rPr>
          <w:b/>
          <w:highlight w:val="yellow"/>
        </w:rPr>
        <w:t>BOGOTÁ, XXXXXX 202X</w:t>
      </w:r>
    </w:p>
    <w:p w:rsidR="00522688" w:rsidRDefault="00522688"/>
    <w:p w:rsidR="00522688" w:rsidRDefault="004E4FBB">
      <w:pPr>
        <w:rPr>
          <w:b/>
        </w:rPr>
      </w:pPr>
      <w:r>
        <w:br w:type="page"/>
      </w:r>
    </w:p>
    <w:p w:rsidR="00522688" w:rsidRDefault="004E4FBB">
      <w:pPr>
        <w:jc w:val="center"/>
        <w:rPr>
          <w:b/>
        </w:rPr>
      </w:pPr>
      <w:bookmarkStart w:id="1" w:name="_heading=h.gjdgxs" w:colFirst="0" w:colLast="0"/>
      <w:bookmarkEnd w:id="1"/>
      <w:r>
        <w:rPr>
          <w:b/>
        </w:rPr>
        <w:lastRenderedPageBreak/>
        <w:t>INTRODUCCIÓN</w:t>
      </w:r>
    </w:p>
    <w:p w:rsidR="00522688" w:rsidRDefault="00522688"/>
    <w:p w:rsidR="00522688" w:rsidRDefault="004E4FBB">
      <w:pPr>
        <w:ind w:left="260"/>
        <w:rPr>
          <w:color w:val="3B3838"/>
          <w:highlight w:val="lightGray"/>
        </w:rPr>
      </w:pPr>
      <w:r>
        <w:rPr>
          <w:color w:val="3B3838"/>
          <w:highlight w:val="lightGray"/>
        </w:rPr>
        <w:t>Los aspectos incluidos en corchetes y resaltado gris deben ser diligenciados por la Entidad.]</w:t>
      </w:r>
    </w:p>
    <w:p w:rsidR="00522688" w:rsidRDefault="00522688">
      <w:pPr>
        <w:spacing w:line="205" w:lineRule="auto"/>
        <w:rPr>
          <w:rFonts w:ascii="Times New Roman" w:eastAsia="Times New Roman" w:hAnsi="Times New Roman" w:cs="Times New Roman"/>
          <w:sz w:val="24"/>
          <w:szCs w:val="24"/>
        </w:rPr>
      </w:pPr>
    </w:p>
    <w:p w:rsidR="00522688" w:rsidRDefault="00522688"/>
    <w:p w:rsidR="00522688" w:rsidRDefault="004E4FBB">
      <w:r>
        <w:t xml:space="preserve">El </w:t>
      </w:r>
      <w:r>
        <w:rPr>
          <w:b/>
          <w:highlight w:val="yellow"/>
        </w:rPr>
        <w:t>INSTITUTO DE DESARROLLO URBANO - IDU</w:t>
      </w:r>
      <w:r>
        <w:t xml:space="preserve">, en adelante la “Entidad”, pone a disposición de los interesados el Pliego de Condiciones para la selección del Contratista encargado de ejecutar el Contrato de Consultoría para </w:t>
      </w:r>
      <w:r>
        <w:rPr>
          <w:highlight w:val="lightGray"/>
        </w:rPr>
        <w:t>[Incluir el objeto del Contrato]</w:t>
      </w:r>
      <w:r>
        <w:t xml:space="preserve">, en adelante el “Contrato”. </w:t>
      </w:r>
    </w:p>
    <w:p w:rsidR="00522688" w:rsidRDefault="00522688"/>
    <w:p w:rsidR="00522688" w:rsidRDefault="004E4FBB">
      <w:r>
        <w:t>Los documentos</w:t>
      </w:r>
      <w:r>
        <w:t xml:space="preserve"> del proceso, que incluyen los estudios y documentos previos, el estudio de sector, así como cualquiera de sus anexos, están a disposición del público en el Sistema Electrónico de Contratación Pública –SECOP–. </w:t>
      </w:r>
    </w:p>
    <w:p w:rsidR="00522688" w:rsidRDefault="00522688"/>
    <w:p w:rsidR="00522688" w:rsidRDefault="004E4FBB">
      <w:r>
        <w:t xml:space="preserve">La selección del Contratista se realizará a </w:t>
      </w:r>
      <w:r>
        <w:t xml:space="preserve">través del Proceso de Contratación No. </w:t>
      </w:r>
      <w:r>
        <w:rPr>
          <w:highlight w:val="lightGray"/>
        </w:rPr>
        <w:t>[Incluir número de Proceso de Contratación, que debe ser igual al establecido en el SECOP]</w:t>
      </w:r>
      <w:r>
        <w:t xml:space="preserve"> </w:t>
      </w:r>
    </w:p>
    <w:p w:rsidR="00522688" w:rsidRDefault="00522688"/>
    <w:p w:rsidR="00522688" w:rsidRDefault="004E4FBB">
      <w:r>
        <w:t>La Entidad evaluará las ofertas conforme con las reglas establecidas en el Pliego de Condiciones y la normativa aplicable.</w:t>
      </w:r>
    </w:p>
    <w:p w:rsidR="00522688" w:rsidRDefault="00522688"/>
    <w:p w:rsidR="00522688" w:rsidRDefault="004E4FBB">
      <w:r>
        <w:t>Todas las personas y organizaciones interesadas en hacer control social al Proceso de Contratación, en cualquiera de sus fases o etapas, pueden presentar las recomendaciones que consideren convenientes, intervenir en las audiencias y consultar los document</w:t>
      </w:r>
      <w:r>
        <w:t xml:space="preserve">os del proceso en los términos del inciso 3 del artículo 66 de la Ley 80 de 1993 y el artículo 2.2.1.1.1.2.1 del Decreto 1082 de 2015. </w:t>
      </w:r>
    </w:p>
    <w:p w:rsidR="00522688" w:rsidRDefault="00522688"/>
    <w:p w:rsidR="00522688" w:rsidRDefault="004E4FBB">
      <w:r>
        <w:br w:type="page"/>
      </w:r>
    </w:p>
    <w:p w:rsidR="00522688" w:rsidRDefault="004E4FBB">
      <w:pPr>
        <w:keepNext/>
        <w:keepLines/>
        <w:pBdr>
          <w:top w:val="nil"/>
          <w:left w:val="nil"/>
          <w:bottom w:val="nil"/>
          <w:right w:val="nil"/>
          <w:between w:val="nil"/>
        </w:pBdr>
        <w:ind w:left="6598" w:hanging="360"/>
        <w:jc w:val="center"/>
        <w:rPr>
          <w:b/>
          <w:color w:val="000000"/>
          <w:sz w:val="22"/>
          <w:szCs w:val="22"/>
        </w:rPr>
      </w:pPr>
      <w:r>
        <w:rPr>
          <w:b/>
          <w:color w:val="000000"/>
          <w:sz w:val="22"/>
          <w:szCs w:val="22"/>
        </w:rPr>
        <w:lastRenderedPageBreak/>
        <w:t>TABLA DE CONTENIDO</w:t>
      </w:r>
    </w:p>
    <w:p w:rsidR="00522688" w:rsidRDefault="00522688"/>
    <w:sdt>
      <w:sdtPr>
        <w:id w:val="-1204399608"/>
        <w:docPartObj>
          <w:docPartGallery w:val="Table of Contents"/>
          <w:docPartUnique/>
        </w:docPartObj>
      </w:sdtPr>
      <w:sdtEndPr/>
      <w:sdtContent>
        <w:p w:rsidR="00522688" w:rsidRDefault="004E4FBB">
          <w:pPr>
            <w:pBdr>
              <w:top w:val="nil"/>
              <w:left w:val="nil"/>
              <w:bottom w:val="nil"/>
              <w:right w:val="nil"/>
              <w:between w:val="nil"/>
            </w:pBdr>
            <w:tabs>
              <w:tab w:val="right" w:pos="8919"/>
            </w:tabs>
            <w:rPr>
              <w:rFonts w:ascii="Calibri" w:eastAsia="Calibri" w:hAnsi="Calibri" w:cs="Calibri"/>
              <w:color w:val="000000"/>
              <w:sz w:val="22"/>
              <w:szCs w:val="22"/>
            </w:rPr>
          </w:pPr>
          <w:r>
            <w:fldChar w:fldCharType="begin"/>
          </w:r>
          <w:r>
            <w:instrText xml:space="preserve"> TOC \h \u \z </w:instrText>
          </w:r>
          <w:r>
            <w:fldChar w:fldCharType="separate"/>
          </w:r>
          <w:hyperlink w:anchor="_heading=h.gjdgxs">
            <w:r>
              <w:rPr>
                <w:b/>
                <w:color w:val="000000"/>
              </w:rPr>
              <w:t>INTRODUCCIÓN</w:t>
            </w:r>
          </w:hyperlink>
          <w:hyperlink w:anchor="_heading=h.gjdgxs">
            <w:r>
              <w:rPr>
                <w:color w:val="000000"/>
              </w:rPr>
              <w:tab/>
              <w:t>2</w:t>
            </w:r>
          </w:hyperlink>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30j0zll">
            <w:r>
              <w:rPr>
                <w:color w:val="000000"/>
              </w:rPr>
              <w:t>CAPÍTULO I.</w:t>
            </w:r>
          </w:hyperlink>
          <w:hyperlink w:anchor="_heading=h.30j0zll">
            <w:r>
              <w:rPr>
                <w:rFonts w:ascii="Calibri" w:eastAsia="Calibri" w:hAnsi="Calibri" w:cs="Calibri"/>
                <w:color w:val="000000"/>
                <w:sz w:val="22"/>
                <w:szCs w:val="22"/>
              </w:rPr>
              <w:tab/>
            </w:r>
          </w:hyperlink>
          <w:r>
            <w:fldChar w:fldCharType="begin"/>
          </w:r>
          <w:r>
            <w:instrText xml:space="preserve"> PAGEREF _heading=h.30j0zll \h </w:instrText>
          </w:r>
          <w:r>
            <w:fldChar w:fldCharType="separate"/>
          </w:r>
          <w:r>
            <w:rPr>
              <w:color w:val="000000"/>
            </w:rPr>
            <w:t>INFORMACIÓN GENERAL</w:t>
          </w:r>
          <w:r>
            <w:rPr>
              <w:color w:val="000000"/>
            </w:rPr>
            <w:tab/>
            <w:t>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fob9te">
            <w:r>
              <w:rPr>
                <w:color w:val="000000"/>
              </w:rPr>
              <w:t>1.1.</w:t>
            </w:r>
          </w:hyperlink>
          <w:hyperlink w:anchor="_heading=h.1fob9te">
            <w:r>
              <w:rPr>
                <w:rFonts w:ascii="Calibri" w:eastAsia="Calibri" w:hAnsi="Calibri" w:cs="Calibri"/>
                <w:color w:val="000000"/>
                <w:sz w:val="22"/>
                <w:szCs w:val="22"/>
              </w:rPr>
              <w:tab/>
            </w:r>
          </w:hyperlink>
          <w:r>
            <w:fldChar w:fldCharType="begin"/>
          </w:r>
          <w:r>
            <w:instrText xml:space="preserve"> PAGEREF _heading=h.1fob9te \h </w:instrText>
          </w:r>
          <w:r>
            <w:fldChar w:fldCharType="separate"/>
          </w:r>
          <w:r>
            <w:rPr>
              <w:color w:val="000000"/>
            </w:rPr>
            <w:t>OBJETO, PRESUPUESTO OFICIAL, PLAZO Y UBICACIÓN</w:t>
          </w:r>
          <w:r>
            <w:rPr>
              <w:color w:val="000000"/>
            </w:rPr>
            <w:tab/>
            <w:t>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znysh7">
            <w:r>
              <w:rPr>
                <w:color w:val="000000"/>
              </w:rPr>
              <w:t>1.2.</w:t>
            </w:r>
          </w:hyperlink>
          <w:hyperlink w:anchor="_heading=h.3znysh7">
            <w:r>
              <w:rPr>
                <w:rFonts w:ascii="Calibri" w:eastAsia="Calibri" w:hAnsi="Calibri" w:cs="Calibri"/>
                <w:color w:val="000000"/>
                <w:sz w:val="22"/>
                <w:szCs w:val="22"/>
              </w:rPr>
              <w:tab/>
            </w:r>
          </w:hyperlink>
          <w:r>
            <w:fldChar w:fldCharType="begin"/>
          </w:r>
          <w:r>
            <w:instrText xml:space="preserve"> PAGEREF _heading=h.3znysh7 \h </w:instrText>
          </w:r>
          <w:r>
            <w:fldChar w:fldCharType="separate"/>
          </w:r>
          <w:r>
            <w:rPr>
              <w:color w:val="000000"/>
            </w:rPr>
            <w:t>DOCUMENTOS DEL PROCESO</w:t>
          </w:r>
          <w:r>
            <w:rPr>
              <w:color w:val="000000"/>
            </w:rPr>
            <w:tab/>
            <w:t>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et92p0">
            <w:r>
              <w:rPr>
                <w:color w:val="000000"/>
              </w:rPr>
              <w:t>1.3.</w:t>
            </w:r>
          </w:hyperlink>
          <w:hyperlink w:anchor="_heading=h.2et92p0">
            <w:r>
              <w:rPr>
                <w:rFonts w:ascii="Calibri" w:eastAsia="Calibri" w:hAnsi="Calibri" w:cs="Calibri"/>
                <w:color w:val="000000"/>
                <w:sz w:val="22"/>
                <w:szCs w:val="22"/>
              </w:rPr>
              <w:tab/>
            </w:r>
          </w:hyperlink>
          <w:r>
            <w:fldChar w:fldCharType="begin"/>
          </w:r>
          <w:r>
            <w:instrText xml:space="preserve"> PAGEREF _heading=h.2et92p0 \h </w:instrText>
          </w:r>
          <w:r>
            <w:fldChar w:fldCharType="separate"/>
          </w:r>
          <w:r>
            <w:rPr>
              <w:color w:val="000000"/>
            </w:rPr>
            <w:t>COMUNICACIONES Y OBSERVACIONES AL PROCESO</w:t>
          </w:r>
          <w:r>
            <w:rPr>
              <w:color w:val="000000"/>
            </w:rPr>
            <w:tab/>
            <w:t>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tyjcwt">
            <w:r>
              <w:rPr>
                <w:color w:val="000000"/>
              </w:rPr>
              <w:t>1.4.</w:t>
            </w:r>
          </w:hyperlink>
          <w:hyperlink w:anchor="_heading=h.tyjcwt">
            <w:r>
              <w:rPr>
                <w:rFonts w:ascii="Calibri" w:eastAsia="Calibri" w:hAnsi="Calibri" w:cs="Calibri"/>
                <w:color w:val="000000"/>
                <w:sz w:val="22"/>
                <w:szCs w:val="22"/>
              </w:rPr>
              <w:tab/>
            </w:r>
          </w:hyperlink>
          <w:r>
            <w:fldChar w:fldCharType="begin"/>
          </w:r>
          <w:r>
            <w:instrText xml:space="preserve"> PAGEREF _heading=h.tyjcwt \h </w:instrText>
          </w:r>
          <w:r>
            <w:fldChar w:fldCharType="separate"/>
          </w:r>
          <w:r>
            <w:rPr>
              <w:color w:val="000000"/>
            </w:rPr>
            <w:t>CLASIFICADOR DE BIENES Y SERVICIOS DE NACIONES UNIDAS (UNSPSC)</w:t>
          </w:r>
          <w:r>
            <w:rPr>
              <w:color w:val="000000"/>
            </w:rPr>
            <w:tab/>
            <w:t>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dy6vkm">
            <w:r>
              <w:rPr>
                <w:color w:val="000000"/>
              </w:rPr>
              <w:t>1.5.</w:t>
            </w:r>
          </w:hyperlink>
          <w:hyperlink w:anchor="_heading=h.3dy6vkm">
            <w:r>
              <w:rPr>
                <w:rFonts w:ascii="Calibri" w:eastAsia="Calibri" w:hAnsi="Calibri" w:cs="Calibri"/>
                <w:color w:val="000000"/>
                <w:sz w:val="22"/>
                <w:szCs w:val="22"/>
              </w:rPr>
              <w:tab/>
            </w:r>
          </w:hyperlink>
          <w:r>
            <w:fldChar w:fldCharType="begin"/>
          </w:r>
          <w:r>
            <w:instrText xml:space="preserve"> PAGEREF _heading=h.3dy6vkm \h </w:instrText>
          </w:r>
          <w:r>
            <w:fldChar w:fldCharType="separate"/>
          </w:r>
          <w:r>
            <w:rPr>
              <w:color w:val="000000"/>
            </w:rPr>
            <w:t>RECURSOS QUE RESPALDAN LA CONTRATACIÓN</w:t>
          </w:r>
          <w:r>
            <w:rPr>
              <w:color w:val="000000"/>
            </w:rPr>
            <w:tab/>
            <w:t>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t3h5sf">
            <w:r>
              <w:rPr>
                <w:color w:val="000000"/>
              </w:rPr>
              <w:t>1.6.</w:t>
            </w:r>
          </w:hyperlink>
          <w:hyperlink w:anchor="_heading=h.1t3h5sf">
            <w:r>
              <w:rPr>
                <w:rFonts w:ascii="Calibri" w:eastAsia="Calibri" w:hAnsi="Calibri" w:cs="Calibri"/>
                <w:color w:val="000000"/>
                <w:sz w:val="22"/>
                <w:szCs w:val="22"/>
              </w:rPr>
              <w:tab/>
            </w:r>
          </w:hyperlink>
          <w:r>
            <w:fldChar w:fldCharType="begin"/>
          </w:r>
          <w:r>
            <w:instrText xml:space="preserve"> PAGEREF _heading=h.1t3h5sf \h </w:instrText>
          </w:r>
          <w:r>
            <w:fldChar w:fldCharType="separate"/>
          </w:r>
          <w:r>
            <w:rPr>
              <w:color w:val="000000"/>
            </w:rPr>
            <w:t>REGLAS DE SUBSANABILIDAD, EXPLICACIONES Y ACLARACIONES</w:t>
          </w:r>
          <w:r>
            <w:rPr>
              <w:color w:val="000000"/>
            </w:rPr>
            <w:tab/>
            <w:t>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d34og8">
            <w:r>
              <w:rPr>
                <w:color w:val="000000"/>
              </w:rPr>
              <w:t>1.7.</w:t>
            </w:r>
          </w:hyperlink>
          <w:hyperlink w:anchor="_heading=h.4d34og8">
            <w:r>
              <w:rPr>
                <w:rFonts w:ascii="Calibri" w:eastAsia="Calibri" w:hAnsi="Calibri" w:cs="Calibri"/>
                <w:color w:val="000000"/>
                <w:sz w:val="22"/>
                <w:szCs w:val="22"/>
              </w:rPr>
              <w:tab/>
            </w:r>
          </w:hyperlink>
          <w:r>
            <w:fldChar w:fldCharType="begin"/>
          </w:r>
          <w:r>
            <w:instrText xml:space="preserve"> PAGEREF _heading=h.4d34og8 \h </w:instrText>
          </w:r>
          <w:r>
            <w:fldChar w:fldCharType="separate"/>
          </w:r>
          <w:r>
            <w:rPr>
              <w:color w:val="000000"/>
            </w:rPr>
            <w:t>CRONOGRAMA DEL PROCESO</w:t>
          </w:r>
          <w:r>
            <w:rPr>
              <w:color w:val="000000"/>
            </w:rPr>
            <w:tab/>
            <w:t>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s8eyo1">
            <w:r>
              <w:rPr>
                <w:color w:val="000000"/>
              </w:rPr>
              <w:t>1.8.</w:t>
            </w:r>
          </w:hyperlink>
          <w:hyperlink w:anchor="_heading=h.2s8eyo1">
            <w:r>
              <w:rPr>
                <w:rFonts w:ascii="Calibri" w:eastAsia="Calibri" w:hAnsi="Calibri" w:cs="Calibri"/>
                <w:color w:val="000000"/>
                <w:sz w:val="22"/>
                <w:szCs w:val="22"/>
              </w:rPr>
              <w:tab/>
            </w:r>
          </w:hyperlink>
          <w:r>
            <w:fldChar w:fldCharType="begin"/>
          </w:r>
          <w:r>
            <w:instrText xml:space="preserve"> PAGEREF _heading=h.2s8eyo1 \h </w:instrText>
          </w:r>
          <w:r>
            <w:fldChar w:fldCharType="separate"/>
          </w:r>
          <w:r>
            <w:rPr>
              <w:color w:val="000000"/>
            </w:rPr>
            <w:t>IDIOMA</w:t>
          </w:r>
          <w:r>
            <w:rPr>
              <w:color w:val="000000"/>
            </w:rPr>
            <w:tab/>
            <w:t>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7dp8vu">
            <w:r>
              <w:rPr>
                <w:color w:val="000000"/>
              </w:rPr>
              <w:t>1.9.</w:t>
            </w:r>
          </w:hyperlink>
          <w:hyperlink w:anchor="_heading=h.17dp8vu">
            <w:r>
              <w:rPr>
                <w:rFonts w:ascii="Calibri" w:eastAsia="Calibri" w:hAnsi="Calibri" w:cs="Calibri"/>
                <w:color w:val="000000"/>
                <w:sz w:val="22"/>
                <w:szCs w:val="22"/>
              </w:rPr>
              <w:tab/>
            </w:r>
          </w:hyperlink>
          <w:r>
            <w:fldChar w:fldCharType="begin"/>
          </w:r>
          <w:r>
            <w:instrText xml:space="preserve"> PAGEREF _heading=h.17dp8vu \h </w:instrText>
          </w:r>
          <w:r>
            <w:fldChar w:fldCharType="separate"/>
          </w:r>
          <w:r>
            <w:rPr>
              <w:color w:val="000000"/>
            </w:rPr>
            <w:t>DOCUMENTOS OTORGADOS EN EL EXTERIOR</w:t>
          </w:r>
          <w:r>
            <w:rPr>
              <w:color w:val="000000"/>
            </w:rPr>
            <w:tab/>
            <w:t>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rdcrjn">
            <w:r>
              <w:rPr>
                <w:color w:val="000000"/>
              </w:rPr>
              <w:t>1.10.</w:t>
            </w:r>
          </w:hyperlink>
          <w:hyperlink w:anchor="_heading=h.3rdcrjn">
            <w:r>
              <w:rPr>
                <w:rFonts w:ascii="Calibri" w:eastAsia="Calibri" w:hAnsi="Calibri" w:cs="Calibri"/>
                <w:color w:val="000000"/>
                <w:sz w:val="22"/>
                <w:szCs w:val="22"/>
              </w:rPr>
              <w:tab/>
            </w:r>
          </w:hyperlink>
          <w:r>
            <w:fldChar w:fldCharType="begin"/>
          </w:r>
          <w:r>
            <w:instrText xml:space="preserve"> PAGEREF _heading=h.3rdcrjn \h </w:instrText>
          </w:r>
          <w:r>
            <w:fldChar w:fldCharType="separate"/>
          </w:r>
          <w:r>
            <w:rPr>
              <w:color w:val="000000"/>
            </w:rPr>
            <w:t>GLOSARIO</w:t>
          </w:r>
          <w:r>
            <w:rPr>
              <w:color w:val="000000"/>
            </w:rPr>
            <w:tab/>
            <w:t>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6in1rg">
            <w:r>
              <w:rPr>
                <w:color w:val="000000"/>
              </w:rPr>
              <w:t>1.11.</w:t>
            </w:r>
          </w:hyperlink>
          <w:hyperlink w:anchor="_heading=h.26in1rg">
            <w:r>
              <w:rPr>
                <w:rFonts w:ascii="Calibri" w:eastAsia="Calibri" w:hAnsi="Calibri" w:cs="Calibri"/>
                <w:color w:val="000000"/>
                <w:sz w:val="22"/>
                <w:szCs w:val="22"/>
              </w:rPr>
              <w:tab/>
            </w:r>
          </w:hyperlink>
          <w:r>
            <w:fldChar w:fldCharType="begin"/>
          </w:r>
          <w:r>
            <w:instrText xml:space="preserve"> PAGEREF _heading=h.26in1rg \h </w:instrText>
          </w:r>
          <w:r>
            <w:fldChar w:fldCharType="separate"/>
          </w:r>
          <w:r>
            <w:rPr>
              <w:color w:val="000000"/>
            </w:rPr>
            <w:t>INFORMACIÓN INEXACTA</w:t>
          </w:r>
          <w:r>
            <w:rPr>
              <w:color w:val="000000"/>
            </w:rPr>
            <w:tab/>
            <w:t>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lnxbz9">
            <w:r>
              <w:rPr>
                <w:color w:val="000000"/>
              </w:rPr>
              <w:t>1.12.</w:t>
            </w:r>
          </w:hyperlink>
          <w:hyperlink w:anchor="_heading=h.lnxbz9">
            <w:r>
              <w:rPr>
                <w:rFonts w:ascii="Calibri" w:eastAsia="Calibri" w:hAnsi="Calibri" w:cs="Calibri"/>
                <w:color w:val="000000"/>
                <w:sz w:val="22"/>
                <w:szCs w:val="22"/>
              </w:rPr>
              <w:tab/>
            </w:r>
          </w:hyperlink>
          <w:r>
            <w:fldChar w:fldCharType="begin"/>
          </w:r>
          <w:r>
            <w:instrText xml:space="preserve"> PAGEREF _heading=h.lnxbz9 \h </w:instrText>
          </w:r>
          <w:r>
            <w:fldChar w:fldCharType="separate"/>
          </w:r>
          <w:r>
            <w:rPr>
              <w:color w:val="000000"/>
            </w:rPr>
            <w:t>INFORMACIÓ</w:t>
          </w:r>
          <w:r>
            <w:rPr>
              <w:color w:val="000000"/>
            </w:rPr>
            <w:t>N RESERVADA</w:t>
          </w:r>
          <w:r>
            <w:rPr>
              <w:color w:val="000000"/>
            </w:rPr>
            <w:tab/>
            <w:t>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5nkun2">
            <w:r>
              <w:rPr>
                <w:color w:val="000000"/>
              </w:rPr>
              <w:t>1.13.</w:t>
            </w:r>
          </w:hyperlink>
          <w:hyperlink w:anchor="_heading=h.35nkun2">
            <w:r>
              <w:rPr>
                <w:rFonts w:ascii="Calibri" w:eastAsia="Calibri" w:hAnsi="Calibri" w:cs="Calibri"/>
                <w:color w:val="000000"/>
                <w:sz w:val="22"/>
                <w:szCs w:val="22"/>
              </w:rPr>
              <w:tab/>
            </w:r>
          </w:hyperlink>
          <w:r>
            <w:fldChar w:fldCharType="begin"/>
          </w:r>
          <w:r>
            <w:instrText xml:space="preserve"> PAGEREF _heading=h.35nkun2 \h </w:instrText>
          </w:r>
          <w:r>
            <w:fldChar w:fldCharType="separate"/>
          </w:r>
          <w:r>
            <w:rPr>
              <w:color w:val="000000"/>
            </w:rPr>
            <w:t>MONEDA</w:t>
          </w:r>
          <w:r>
            <w:rPr>
              <w:color w:val="000000"/>
            </w:rPr>
            <w:tab/>
            <w:t>10</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ksv4uv">
            <w:r>
              <w:rPr>
                <w:color w:val="000000"/>
              </w:rPr>
              <w:t>1.14.</w:t>
            </w:r>
          </w:hyperlink>
          <w:hyperlink w:anchor="_heading=h.1ksv4uv">
            <w:r>
              <w:rPr>
                <w:rFonts w:ascii="Calibri" w:eastAsia="Calibri" w:hAnsi="Calibri" w:cs="Calibri"/>
                <w:color w:val="000000"/>
                <w:sz w:val="22"/>
                <w:szCs w:val="22"/>
              </w:rPr>
              <w:tab/>
            </w:r>
          </w:hyperlink>
          <w:r>
            <w:fldChar w:fldCharType="begin"/>
          </w:r>
          <w:r>
            <w:instrText xml:space="preserve"> PAGEREF _heading=h.1ksv4uv \h </w:instrText>
          </w:r>
          <w:r>
            <w:fldChar w:fldCharType="separate"/>
          </w:r>
          <w:r>
            <w:rPr>
              <w:color w:val="000000"/>
            </w:rPr>
            <w:t>CONFLICTO DE INTERÉS DE ORIGEN CONSTITUCIONAL O LEGAL</w:t>
          </w:r>
          <w:r>
            <w:rPr>
              <w:color w:val="000000"/>
            </w:rPr>
            <w:tab/>
            <w:t>11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4sinio">
            <w:r>
              <w:rPr>
                <w:color w:val="000000"/>
              </w:rPr>
              <w:t>1.15.</w:t>
            </w:r>
          </w:hyperlink>
          <w:hyperlink w:anchor="_heading=h.44sinio">
            <w:r>
              <w:rPr>
                <w:rFonts w:ascii="Calibri" w:eastAsia="Calibri" w:hAnsi="Calibri" w:cs="Calibri"/>
                <w:color w:val="000000"/>
                <w:sz w:val="22"/>
                <w:szCs w:val="22"/>
              </w:rPr>
              <w:tab/>
            </w:r>
          </w:hyperlink>
          <w:r>
            <w:fldChar w:fldCharType="begin"/>
          </w:r>
          <w:r>
            <w:instrText xml:space="preserve"> PAGEREF _heading=h.44sinio \h </w:instrText>
          </w:r>
          <w:r>
            <w:fldChar w:fldCharType="separate"/>
          </w:r>
          <w:r>
            <w:rPr>
              <w:color w:val="000000"/>
            </w:rPr>
            <w:t>CAUSALES DE RECHAZO</w:t>
          </w:r>
          <w:r>
            <w:rPr>
              <w:color w:val="000000"/>
            </w:rPr>
            <w:tab/>
            <w:t>11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jxsxqh">
            <w:r>
              <w:rPr>
                <w:color w:val="000000"/>
              </w:rPr>
              <w:t>1.16.</w:t>
            </w:r>
          </w:hyperlink>
          <w:hyperlink w:anchor="_heading=h.2jxsxqh">
            <w:r>
              <w:rPr>
                <w:rFonts w:ascii="Calibri" w:eastAsia="Calibri" w:hAnsi="Calibri" w:cs="Calibri"/>
                <w:color w:val="000000"/>
                <w:sz w:val="22"/>
                <w:szCs w:val="22"/>
              </w:rPr>
              <w:tab/>
            </w:r>
          </w:hyperlink>
          <w:r>
            <w:fldChar w:fldCharType="begin"/>
          </w:r>
          <w:r>
            <w:instrText xml:space="preserve"> PAGEREF _heading=h.2jxsxqh \h </w:instrText>
          </w:r>
          <w:r>
            <w:fldChar w:fldCharType="separate"/>
          </w:r>
          <w:r>
            <w:rPr>
              <w:color w:val="000000"/>
            </w:rPr>
            <w:t>CAUSALES PARA DECLARAR DESIERTO EL PROCESO DE SELECCIÓN</w:t>
          </w:r>
          <w:r>
            <w:rPr>
              <w:color w:val="000000"/>
            </w:rPr>
            <w:tab/>
            <w:t>12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z337ya">
            <w:r>
              <w:rPr>
                <w:color w:val="000000"/>
              </w:rPr>
              <w:t>1.17.</w:t>
            </w:r>
          </w:hyperlink>
          <w:hyperlink w:anchor="_heading=h.z337ya">
            <w:r>
              <w:rPr>
                <w:rFonts w:ascii="Calibri" w:eastAsia="Calibri" w:hAnsi="Calibri" w:cs="Calibri"/>
                <w:color w:val="000000"/>
                <w:sz w:val="22"/>
                <w:szCs w:val="22"/>
              </w:rPr>
              <w:tab/>
            </w:r>
          </w:hyperlink>
          <w:r>
            <w:fldChar w:fldCharType="begin"/>
          </w:r>
          <w:r>
            <w:instrText xml:space="preserve"> PAGEREF _heading=h.z337ya \h </w:instrText>
          </w:r>
          <w:r>
            <w:fldChar w:fldCharType="separate"/>
          </w:r>
          <w:r>
            <w:rPr>
              <w:color w:val="000000"/>
            </w:rPr>
            <w:t>NORMAS DE INTERPRETACIÓN DEL PLIEGO DE CONDICIONES</w:t>
          </w:r>
          <w:r>
            <w:rPr>
              <w:color w:val="000000"/>
            </w:rPr>
            <w:tab/>
            <w:t>13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j2qqm3">
            <w:r>
              <w:rPr>
                <w:color w:val="000000"/>
              </w:rPr>
              <w:t>1.18.</w:t>
            </w:r>
          </w:hyperlink>
          <w:hyperlink w:anchor="_heading=h.3j2qqm3">
            <w:r>
              <w:rPr>
                <w:rFonts w:ascii="Calibri" w:eastAsia="Calibri" w:hAnsi="Calibri" w:cs="Calibri"/>
                <w:color w:val="000000"/>
                <w:sz w:val="22"/>
                <w:szCs w:val="22"/>
              </w:rPr>
              <w:tab/>
            </w:r>
          </w:hyperlink>
          <w:r>
            <w:fldChar w:fldCharType="begin"/>
          </w:r>
          <w:r>
            <w:instrText xml:space="preserve"> PAGEREF _heading=h.3j2qqm3 \h </w:instrText>
          </w:r>
          <w:r>
            <w:fldChar w:fldCharType="separate"/>
          </w:r>
          <w:r>
            <w:rPr>
              <w:color w:val="000000"/>
            </w:rPr>
            <w:t>RETIRO DE LA PROPUESTA</w:t>
          </w:r>
          <w:r>
            <w:rPr>
              <w:color w:val="000000"/>
            </w:rPr>
            <w:tab/>
            <w:t>13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y810tw">
            <w:r>
              <w:rPr>
                <w:color w:val="000000"/>
              </w:rPr>
              <w:t>1.19.</w:t>
            </w:r>
          </w:hyperlink>
          <w:hyperlink w:anchor="_heading=h.1y810tw">
            <w:r>
              <w:rPr>
                <w:rFonts w:ascii="Calibri" w:eastAsia="Calibri" w:hAnsi="Calibri" w:cs="Calibri"/>
                <w:color w:val="000000"/>
                <w:sz w:val="22"/>
                <w:szCs w:val="22"/>
              </w:rPr>
              <w:tab/>
            </w:r>
          </w:hyperlink>
          <w:r>
            <w:fldChar w:fldCharType="begin"/>
          </w:r>
          <w:r>
            <w:instrText xml:space="preserve"> PAGEREF _heading=h.1y810tw \h </w:instrText>
          </w:r>
          <w:r>
            <w:fldChar w:fldCharType="separate"/>
          </w:r>
          <w:r>
            <w:rPr>
              <w:color w:val="000000"/>
            </w:rPr>
            <w:t>CONFIDENCIALIDAD DE LA INFORMACIÓN RELACIONADA CON DATOS SENSIBLES</w:t>
          </w:r>
          <w:r>
            <w:rPr>
              <w:color w:val="000000"/>
            </w:rPr>
            <w:tab/>
          </w:r>
          <w:r>
            <w:rPr>
              <w:color w:val="000000"/>
            </w:rPr>
            <w:t>14</w:t>
          </w:r>
          <w:r>
            <w:fldChar w:fldCharType="end"/>
          </w:r>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4i7ojhp">
            <w:r>
              <w:rPr>
                <w:color w:val="000000"/>
              </w:rPr>
              <w:t>CAPÍTULO II.</w:t>
            </w:r>
          </w:hyperlink>
          <w:hyperlink w:anchor="_heading=h.4i7ojhp">
            <w:r>
              <w:rPr>
                <w:rFonts w:ascii="Calibri" w:eastAsia="Calibri" w:hAnsi="Calibri" w:cs="Calibri"/>
                <w:color w:val="000000"/>
                <w:sz w:val="22"/>
                <w:szCs w:val="22"/>
              </w:rPr>
              <w:tab/>
            </w:r>
          </w:hyperlink>
          <w:r>
            <w:fldChar w:fldCharType="begin"/>
          </w:r>
          <w:r>
            <w:instrText xml:space="preserve"> PAGEREF _heading=h.4i7ojhp \h </w:instrText>
          </w:r>
          <w:r>
            <w:fldChar w:fldCharType="separate"/>
          </w:r>
          <w:r>
            <w:rPr>
              <w:color w:val="000000"/>
            </w:rPr>
            <w:t>ELABORACIÓN, PRESENTACIÓN DE LA OFERTA Y EVALUACIÓN</w:t>
          </w:r>
          <w:r>
            <w:rPr>
              <w:color w:val="000000"/>
            </w:rPr>
            <w:tab/>
            <w:t>15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xcytpi">
            <w:r>
              <w:rPr>
                <w:color w:val="000000"/>
              </w:rPr>
              <w:t>2.1.</w:t>
            </w:r>
          </w:hyperlink>
          <w:hyperlink w:anchor="_heading=h.2xcytpi">
            <w:r>
              <w:rPr>
                <w:rFonts w:ascii="Calibri" w:eastAsia="Calibri" w:hAnsi="Calibri" w:cs="Calibri"/>
                <w:color w:val="000000"/>
                <w:sz w:val="22"/>
                <w:szCs w:val="22"/>
              </w:rPr>
              <w:tab/>
            </w:r>
          </w:hyperlink>
          <w:r>
            <w:fldChar w:fldCharType="begin"/>
          </w:r>
          <w:r>
            <w:instrText xml:space="preserve"> PAGEREF _heading=h.2xcytpi \h </w:instrText>
          </w:r>
          <w:r>
            <w:fldChar w:fldCharType="separate"/>
          </w:r>
          <w:r>
            <w:rPr>
              <w:color w:val="000000"/>
            </w:rPr>
            <w:t>CARTA DE PRESENTACIÓN DE LA OFERTA</w:t>
          </w:r>
          <w:r>
            <w:rPr>
              <w:color w:val="000000"/>
            </w:rPr>
            <w:tab/>
            <w:t>15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ci93xb">
            <w:r>
              <w:rPr>
                <w:color w:val="000000"/>
              </w:rPr>
              <w:t>2.2.</w:t>
            </w:r>
          </w:hyperlink>
          <w:hyperlink w:anchor="_heading=h.1ci93xb">
            <w:r>
              <w:rPr>
                <w:rFonts w:ascii="Calibri" w:eastAsia="Calibri" w:hAnsi="Calibri" w:cs="Calibri"/>
                <w:color w:val="000000"/>
                <w:sz w:val="22"/>
                <w:szCs w:val="22"/>
              </w:rPr>
              <w:tab/>
            </w:r>
          </w:hyperlink>
          <w:r>
            <w:fldChar w:fldCharType="begin"/>
          </w:r>
          <w:r>
            <w:instrText xml:space="preserve"> PAGEREF _heading=h.1ci93xb \h </w:instrText>
          </w:r>
          <w:r>
            <w:fldChar w:fldCharType="separate"/>
          </w:r>
          <w:r>
            <w:rPr>
              <w:color w:val="000000"/>
            </w:rPr>
            <w:t>APODERADO</w:t>
          </w:r>
          <w:r>
            <w:rPr>
              <w:color w:val="000000"/>
            </w:rPr>
            <w:tab/>
            <w:t>15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whwml4">
            <w:r>
              <w:rPr>
                <w:color w:val="000000"/>
              </w:rPr>
              <w:t>2.3.</w:t>
            </w:r>
          </w:hyperlink>
          <w:hyperlink w:anchor="_heading=h.3whwml4">
            <w:r>
              <w:rPr>
                <w:rFonts w:ascii="Calibri" w:eastAsia="Calibri" w:hAnsi="Calibri" w:cs="Calibri"/>
                <w:color w:val="000000"/>
                <w:sz w:val="22"/>
                <w:szCs w:val="22"/>
              </w:rPr>
              <w:tab/>
            </w:r>
          </w:hyperlink>
          <w:r>
            <w:fldChar w:fldCharType="begin"/>
          </w:r>
          <w:r>
            <w:instrText xml:space="preserve"> PAGEREF _heading=h.3whwml4 \h </w:instrText>
          </w:r>
          <w:r>
            <w:fldChar w:fldCharType="separate"/>
          </w:r>
          <w:r>
            <w:rPr>
              <w:color w:val="000000"/>
            </w:rPr>
            <w:t>LIMITACIÓN A MIPYME</w:t>
          </w:r>
          <w:r>
            <w:rPr>
              <w:color w:val="000000"/>
            </w:rPr>
            <w:tab/>
            <w:t>16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bn6wsx">
            <w:r>
              <w:rPr>
                <w:color w:val="000000"/>
              </w:rPr>
              <w:t>2.4.</w:t>
            </w:r>
          </w:hyperlink>
          <w:hyperlink w:anchor="_heading=h.2bn6wsx">
            <w:r>
              <w:rPr>
                <w:rFonts w:ascii="Calibri" w:eastAsia="Calibri" w:hAnsi="Calibri" w:cs="Calibri"/>
                <w:color w:val="000000"/>
                <w:sz w:val="22"/>
                <w:szCs w:val="22"/>
              </w:rPr>
              <w:tab/>
            </w:r>
          </w:hyperlink>
          <w:r>
            <w:fldChar w:fldCharType="begin"/>
          </w:r>
          <w:r>
            <w:instrText xml:space="preserve"> PAGEREF _heading=h.2bn6wsx \h </w:instrText>
          </w:r>
          <w:r>
            <w:fldChar w:fldCharType="separate"/>
          </w:r>
          <w:r>
            <w:rPr>
              <w:color w:val="000000"/>
            </w:rPr>
            <w:t>ELABORACIÓN Y PRESENTACIÓN DE LA OFERTA</w:t>
          </w:r>
          <w:r>
            <w:rPr>
              <w:color w:val="000000"/>
            </w:rPr>
            <w:tab/>
            <w:t>16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qsh70q">
            <w:r>
              <w:rPr>
                <w:color w:val="000000"/>
              </w:rPr>
              <w:t>2.5.</w:t>
            </w:r>
          </w:hyperlink>
          <w:hyperlink w:anchor="_heading=h.qsh70q">
            <w:r>
              <w:rPr>
                <w:rFonts w:ascii="Calibri" w:eastAsia="Calibri" w:hAnsi="Calibri" w:cs="Calibri"/>
                <w:color w:val="000000"/>
                <w:sz w:val="22"/>
                <w:szCs w:val="22"/>
              </w:rPr>
              <w:tab/>
            </w:r>
          </w:hyperlink>
          <w:r>
            <w:fldChar w:fldCharType="begin"/>
          </w:r>
          <w:r>
            <w:instrText xml:space="preserve"> PAGEREF _heading=h.qsh70q \h </w:instrText>
          </w:r>
          <w:r>
            <w:fldChar w:fldCharType="separate"/>
          </w:r>
          <w:r>
            <w:rPr>
              <w:color w:val="000000"/>
            </w:rPr>
            <w:t>CIERRE DEL PROCESO Y APERTURA DE LAS OFERTAS</w:t>
          </w:r>
          <w:r>
            <w:rPr>
              <w:color w:val="000000"/>
            </w:rPr>
            <w:tab/>
            <w:t>17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as4poj">
            <w:r>
              <w:rPr>
                <w:color w:val="000000"/>
              </w:rPr>
              <w:t>2.6.</w:t>
            </w:r>
          </w:hyperlink>
          <w:hyperlink w:anchor="_heading=h.3as4poj">
            <w:r>
              <w:rPr>
                <w:rFonts w:ascii="Calibri" w:eastAsia="Calibri" w:hAnsi="Calibri" w:cs="Calibri"/>
                <w:color w:val="000000"/>
                <w:sz w:val="22"/>
                <w:szCs w:val="22"/>
              </w:rPr>
              <w:tab/>
            </w:r>
          </w:hyperlink>
          <w:r>
            <w:fldChar w:fldCharType="begin"/>
          </w:r>
          <w:r>
            <w:instrText xml:space="preserve"> PAGEREF _heading=h.3as4poj \h </w:instrText>
          </w:r>
          <w:r>
            <w:fldChar w:fldCharType="separate"/>
          </w:r>
          <w:r>
            <w:rPr>
              <w:color w:val="000000"/>
            </w:rPr>
            <w:t>INFORME DE EVALUACIÓN</w:t>
          </w:r>
          <w:r>
            <w:rPr>
              <w:color w:val="000000"/>
            </w:rPr>
            <w:tab/>
            <w:t>17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pxezwc">
            <w:r>
              <w:rPr>
                <w:color w:val="000000"/>
              </w:rPr>
              <w:t>2.7.</w:t>
            </w:r>
          </w:hyperlink>
          <w:hyperlink w:anchor="_heading=h.1pxezwc">
            <w:r>
              <w:rPr>
                <w:rFonts w:ascii="Calibri" w:eastAsia="Calibri" w:hAnsi="Calibri" w:cs="Calibri"/>
                <w:color w:val="000000"/>
                <w:sz w:val="22"/>
                <w:szCs w:val="22"/>
              </w:rPr>
              <w:tab/>
            </w:r>
          </w:hyperlink>
          <w:r>
            <w:fldChar w:fldCharType="begin"/>
          </w:r>
          <w:r>
            <w:instrText xml:space="preserve"> PAGEREF _heading=h.1pxezwc \h </w:instrText>
          </w:r>
          <w:r>
            <w:fldChar w:fldCharType="separate"/>
          </w:r>
          <w:r>
            <w:rPr>
              <w:color w:val="000000"/>
            </w:rPr>
            <w:t>ADJUDICACIÓN</w:t>
          </w:r>
          <w:r>
            <w:rPr>
              <w:color w:val="000000"/>
            </w:rPr>
            <w:tab/>
            <w:t>18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9x2ik5">
            <w:r>
              <w:rPr>
                <w:color w:val="000000"/>
              </w:rPr>
              <w:t>2</w:t>
            </w:r>
            <w:r>
              <w:rPr>
                <w:color w:val="000000"/>
              </w:rPr>
              <w:t>.8.</w:t>
            </w:r>
          </w:hyperlink>
          <w:hyperlink w:anchor="_heading=h.49x2ik5">
            <w:r>
              <w:rPr>
                <w:rFonts w:ascii="Calibri" w:eastAsia="Calibri" w:hAnsi="Calibri" w:cs="Calibri"/>
                <w:color w:val="000000"/>
                <w:sz w:val="22"/>
                <w:szCs w:val="22"/>
              </w:rPr>
              <w:tab/>
            </w:r>
          </w:hyperlink>
          <w:r>
            <w:fldChar w:fldCharType="begin"/>
          </w:r>
          <w:r>
            <w:instrText xml:space="preserve"> PAGEREF _heading=h.49x2ik5 \h </w:instrText>
          </w:r>
          <w:r>
            <w:fldChar w:fldCharType="separate"/>
          </w:r>
          <w:r>
            <w:rPr>
              <w:color w:val="000000"/>
            </w:rPr>
            <w:t>PROPUESTAS PARCIALES</w:t>
          </w:r>
          <w:r>
            <w:rPr>
              <w:color w:val="000000"/>
            </w:rPr>
            <w:tab/>
            <w:t>19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p2csry">
            <w:r>
              <w:rPr>
                <w:color w:val="000000"/>
              </w:rPr>
              <w:t>2.9.</w:t>
            </w:r>
          </w:hyperlink>
          <w:hyperlink w:anchor="_heading=h.2p2csry">
            <w:r>
              <w:rPr>
                <w:rFonts w:ascii="Calibri" w:eastAsia="Calibri" w:hAnsi="Calibri" w:cs="Calibri"/>
                <w:color w:val="000000"/>
                <w:sz w:val="22"/>
                <w:szCs w:val="22"/>
              </w:rPr>
              <w:tab/>
            </w:r>
          </w:hyperlink>
          <w:r>
            <w:fldChar w:fldCharType="begin"/>
          </w:r>
          <w:r>
            <w:instrText xml:space="preserve"> PAGEREF _heading=h.2p2csry \h </w:instrText>
          </w:r>
          <w:r>
            <w:fldChar w:fldCharType="separate"/>
          </w:r>
          <w:r>
            <w:rPr>
              <w:color w:val="000000"/>
            </w:rPr>
            <w:t>PROPUESTAS ALTERNATIVAS</w:t>
          </w:r>
          <w:r>
            <w:rPr>
              <w:color w:val="000000"/>
            </w:rPr>
            <w:tab/>
            <w:t>19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47n2zr">
            <w:r>
              <w:rPr>
                <w:color w:val="000000"/>
                <w:highlight w:val="yellow"/>
              </w:rPr>
              <w:t>2.10.</w:t>
            </w:r>
          </w:hyperlink>
          <w:hyperlink w:anchor="_heading=h.147n2zr">
            <w:r>
              <w:rPr>
                <w:rFonts w:ascii="Calibri" w:eastAsia="Calibri" w:hAnsi="Calibri" w:cs="Calibri"/>
                <w:color w:val="000000"/>
                <w:sz w:val="22"/>
                <w:szCs w:val="22"/>
              </w:rPr>
              <w:tab/>
            </w:r>
          </w:hyperlink>
          <w:r>
            <w:fldChar w:fldCharType="begin"/>
          </w:r>
          <w:r>
            <w:instrText xml:space="preserve"> PAGEREF _heading=h.147n2zr \h </w:instrText>
          </w:r>
          <w:r>
            <w:fldChar w:fldCharType="separate"/>
          </w:r>
          <w:r>
            <w:rPr>
              <w:color w:val="000000"/>
            </w:rPr>
            <w:t xml:space="preserve">REGLAS PARA LOS PROCESOS ESTRUCTURADOS POR LOTES O GRUPOS </w:t>
          </w:r>
          <w:r>
            <w:rPr>
              <w:color w:val="000000"/>
              <w:highlight w:val="yellow"/>
            </w:rPr>
            <w:t>(ELIMINAR EL NUMERAL SI EL PROCESO NO ES ESTRUC</w:t>
          </w:r>
          <w:r>
            <w:rPr>
              <w:color w:val="000000"/>
              <w:highlight w:val="yellow"/>
            </w:rPr>
            <w:t>TURADO POR GRUPOS)</w:t>
          </w:r>
          <w:r>
            <w:rPr>
              <w:color w:val="000000"/>
            </w:rPr>
            <w:tab/>
            <w:t>20</w:t>
          </w:r>
          <w:r>
            <w:fldChar w:fldCharType="end"/>
          </w:r>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3o7alnk">
            <w:r>
              <w:rPr>
                <w:color w:val="000000"/>
              </w:rPr>
              <w:t>CAPÍTULO III.</w:t>
            </w:r>
          </w:hyperlink>
          <w:hyperlink w:anchor="_heading=h.3o7alnk">
            <w:r>
              <w:rPr>
                <w:rFonts w:ascii="Calibri" w:eastAsia="Calibri" w:hAnsi="Calibri" w:cs="Calibri"/>
                <w:color w:val="000000"/>
                <w:sz w:val="22"/>
                <w:szCs w:val="22"/>
              </w:rPr>
              <w:tab/>
            </w:r>
          </w:hyperlink>
          <w:r>
            <w:fldChar w:fldCharType="begin"/>
          </w:r>
          <w:r>
            <w:instrText xml:space="preserve"> PAGEREF _heading=h.3o7alnk \h </w:instrText>
          </w:r>
          <w:r>
            <w:fldChar w:fldCharType="separate"/>
          </w:r>
          <w:r>
            <w:rPr>
              <w:color w:val="000000"/>
            </w:rPr>
            <w:t>REQUISITOS HABILITANTES Y SU VERIFICACIÓN</w:t>
          </w:r>
          <w:r>
            <w:rPr>
              <w:color w:val="000000"/>
            </w:rPr>
            <w:tab/>
            <w:t>21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3ckvvd">
            <w:r>
              <w:rPr>
                <w:color w:val="000000"/>
              </w:rPr>
              <w:t>3.1.</w:t>
            </w:r>
          </w:hyperlink>
          <w:hyperlink w:anchor="_heading=h.23ckvvd">
            <w:r>
              <w:rPr>
                <w:rFonts w:ascii="Calibri" w:eastAsia="Calibri" w:hAnsi="Calibri" w:cs="Calibri"/>
                <w:color w:val="000000"/>
                <w:sz w:val="22"/>
                <w:szCs w:val="22"/>
              </w:rPr>
              <w:tab/>
            </w:r>
          </w:hyperlink>
          <w:r>
            <w:fldChar w:fldCharType="begin"/>
          </w:r>
          <w:r>
            <w:instrText xml:space="preserve"> PAGEREF _heading=h.23ckvvd \h </w:instrText>
          </w:r>
          <w:r>
            <w:fldChar w:fldCharType="separate"/>
          </w:r>
          <w:r>
            <w:rPr>
              <w:color w:val="000000"/>
            </w:rPr>
            <w:t>GENERALIDADES</w:t>
          </w:r>
          <w:r>
            <w:rPr>
              <w:color w:val="000000"/>
            </w:rPr>
            <w:tab/>
            <w:t>21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ihv636">
            <w:r>
              <w:rPr>
                <w:color w:val="000000"/>
              </w:rPr>
              <w:t>3.2.</w:t>
            </w:r>
          </w:hyperlink>
          <w:hyperlink w:anchor="_heading=h.ihv636">
            <w:r>
              <w:rPr>
                <w:rFonts w:ascii="Calibri" w:eastAsia="Calibri" w:hAnsi="Calibri" w:cs="Calibri"/>
                <w:color w:val="000000"/>
                <w:sz w:val="22"/>
                <w:szCs w:val="22"/>
              </w:rPr>
              <w:tab/>
            </w:r>
          </w:hyperlink>
          <w:r>
            <w:fldChar w:fldCharType="begin"/>
          </w:r>
          <w:r>
            <w:instrText xml:space="preserve"> PAGEREF _heading=h.ihv636 \h </w:instrText>
          </w:r>
          <w:r>
            <w:fldChar w:fldCharType="separate"/>
          </w:r>
          <w:r>
            <w:rPr>
              <w:color w:val="000000"/>
            </w:rPr>
            <w:t>CAPACIDAD JURÍDICA</w:t>
          </w:r>
          <w:r>
            <w:rPr>
              <w:color w:val="000000"/>
            </w:rPr>
            <w:tab/>
            <w:t>21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2hioqz">
            <w:r>
              <w:rPr>
                <w:color w:val="000000"/>
              </w:rPr>
              <w:t>3.3.</w:t>
            </w:r>
          </w:hyperlink>
          <w:hyperlink w:anchor="_heading=h.32hioqz">
            <w:r>
              <w:rPr>
                <w:rFonts w:ascii="Calibri" w:eastAsia="Calibri" w:hAnsi="Calibri" w:cs="Calibri"/>
                <w:color w:val="000000"/>
                <w:sz w:val="22"/>
                <w:szCs w:val="22"/>
              </w:rPr>
              <w:tab/>
            </w:r>
          </w:hyperlink>
          <w:r>
            <w:fldChar w:fldCharType="begin"/>
          </w:r>
          <w:r>
            <w:instrText xml:space="preserve"> PAGEREF _heading=h.32hioqz \h </w:instrText>
          </w:r>
          <w:r>
            <w:fldChar w:fldCharType="separate"/>
          </w:r>
          <w:r>
            <w:rPr>
              <w:color w:val="000000"/>
            </w:rPr>
            <w:t>EXISTENCIA Y REPRESENTACIÓN LEGAL</w:t>
          </w:r>
          <w:r>
            <w:rPr>
              <w:color w:val="000000"/>
            </w:rPr>
            <w:tab/>
            <w:t>22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hmsyys">
            <w:r>
              <w:rPr>
                <w:color w:val="000000"/>
              </w:rPr>
              <w:t>3.3.1.</w:t>
            </w:r>
          </w:hyperlink>
          <w:hyperlink w:anchor="_heading=h.1hmsyys">
            <w:r>
              <w:rPr>
                <w:rFonts w:ascii="Calibri" w:eastAsia="Calibri" w:hAnsi="Calibri" w:cs="Calibri"/>
                <w:color w:val="000000"/>
                <w:sz w:val="22"/>
                <w:szCs w:val="22"/>
              </w:rPr>
              <w:tab/>
            </w:r>
          </w:hyperlink>
          <w:r>
            <w:fldChar w:fldCharType="begin"/>
          </w:r>
          <w:r>
            <w:instrText xml:space="preserve"> PAGEREF _heading=h.1hmsyys \h </w:instrText>
          </w:r>
          <w:r>
            <w:fldChar w:fldCharType="separate"/>
          </w:r>
          <w:r>
            <w:rPr>
              <w:color w:val="000000"/>
            </w:rPr>
            <w:t>PERSONAS NATURALES</w:t>
          </w:r>
          <w:r>
            <w:rPr>
              <w:color w:val="000000"/>
            </w:rPr>
            <w:tab/>
            <w:t>22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1mghml">
            <w:r>
              <w:rPr>
                <w:color w:val="000000"/>
              </w:rPr>
              <w:t>3.3.2.</w:t>
            </w:r>
          </w:hyperlink>
          <w:hyperlink w:anchor="_heading=h.41mghml">
            <w:r>
              <w:rPr>
                <w:rFonts w:ascii="Calibri" w:eastAsia="Calibri" w:hAnsi="Calibri" w:cs="Calibri"/>
                <w:color w:val="000000"/>
                <w:sz w:val="22"/>
                <w:szCs w:val="22"/>
              </w:rPr>
              <w:tab/>
            </w:r>
          </w:hyperlink>
          <w:r>
            <w:fldChar w:fldCharType="begin"/>
          </w:r>
          <w:r>
            <w:instrText xml:space="preserve"> PAGEREF _heading=h.41mghml \h </w:instrText>
          </w:r>
          <w:r>
            <w:fldChar w:fldCharType="separate"/>
          </w:r>
          <w:r>
            <w:rPr>
              <w:color w:val="000000"/>
            </w:rPr>
            <w:t>PERSONAS JURÍDICAS</w:t>
          </w:r>
          <w:r>
            <w:rPr>
              <w:color w:val="000000"/>
            </w:rPr>
            <w:tab/>
            <w:t>22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grqrue">
            <w:r>
              <w:rPr>
                <w:color w:val="000000"/>
              </w:rPr>
              <w:t>3.3.3.</w:t>
            </w:r>
          </w:hyperlink>
          <w:hyperlink w:anchor="_heading=h.2grqrue">
            <w:r>
              <w:rPr>
                <w:rFonts w:ascii="Calibri" w:eastAsia="Calibri" w:hAnsi="Calibri" w:cs="Calibri"/>
                <w:color w:val="000000"/>
                <w:sz w:val="22"/>
                <w:szCs w:val="22"/>
              </w:rPr>
              <w:tab/>
            </w:r>
          </w:hyperlink>
          <w:r>
            <w:fldChar w:fldCharType="begin"/>
          </w:r>
          <w:r>
            <w:instrText xml:space="preserve"> PAGEREF _heading=h.2grqrue \h </w:instrText>
          </w:r>
          <w:r>
            <w:fldChar w:fldCharType="separate"/>
          </w:r>
          <w:r>
            <w:rPr>
              <w:color w:val="000000"/>
            </w:rPr>
            <w:t>PROPONENTES PLURALES</w:t>
          </w:r>
          <w:r>
            <w:rPr>
              <w:color w:val="000000"/>
            </w:rPr>
            <w:tab/>
            <w:t>24</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vx1227">
            <w:r>
              <w:rPr>
                <w:color w:val="000000"/>
              </w:rPr>
              <w:t>3.4.</w:t>
            </w:r>
          </w:hyperlink>
          <w:hyperlink w:anchor="_heading=h.vx1227">
            <w:r>
              <w:rPr>
                <w:rFonts w:ascii="Calibri" w:eastAsia="Calibri" w:hAnsi="Calibri" w:cs="Calibri"/>
                <w:color w:val="000000"/>
                <w:sz w:val="22"/>
                <w:szCs w:val="22"/>
              </w:rPr>
              <w:tab/>
            </w:r>
          </w:hyperlink>
          <w:r>
            <w:fldChar w:fldCharType="begin"/>
          </w:r>
          <w:r>
            <w:instrText xml:space="preserve"> PAGEREF _heading=h.vx1227 \h </w:instrText>
          </w:r>
          <w:r>
            <w:fldChar w:fldCharType="separate"/>
          </w:r>
          <w:r>
            <w:rPr>
              <w:color w:val="000000"/>
            </w:rPr>
            <w:t>CERTIFICACIÓN DE PAGOS DE SEGURIDAD SOCIAL Y APORTES LEGALES</w:t>
          </w:r>
          <w:r>
            <w:rPr>
              <w:color w:val="000000"/>
            </w:rPr>
            <w:tab/>
            <w:t>25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fwokq0">
            <w:r>
              <w:rPr>
                <w:color w:val="000000"/>
              </w:rPr>
              <w:t>3.4.1.</w:t>
            </w:r>
          </w:hyperlink>
          <w:hyperlink w:anchor="_heading=h.3fwokq0">
            <w:r>
              <w:rPr>
                <w:rFonts w:ascii="Calibri" w:eastAsia="Calibri" w:hAnsi="Calibri" w:cs="Calibri"/>
                <w:color w:val="000000"/>
                <w:sz w:val="22"/>
                <w:szCs w:val="22"/>
              </w:rPr>
              <w:tab/>
            </w:r>
          </w:hyperlink>
          <w:r>
            <w:fldChar w:fldCharType="begin"/>
          </w:r>
          <w:r>
            <w:instrText xml:space="preserve"> PAGEREF _heading=h.3fwokq0 \h </w:instrText>
          </w:r>
          <w:r>
            <w:fldChar w:fldCharType="separate"/>
          </w:r>
          <w:r>
            <w:rPr>
              <w:color w:val="000000"/>
            </w:rPr>
            <w:t>PERSONAS JURÍDICAS</w:t>
          </w:r>
          <w:r>
            <w:rPr>
              <w:color w:val="000000"/>
            </w:rPr>
            <w:tab/>
            <w:t>25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v1yuxt">
            <w:r>
              <w:rPr>
                <w:color w:val="000000"/>
              </w:rPr>
              <w:t>3.4.2.</w:t>
            </w:r>
          </w:hyperlink>
          <w:hyperlink w:anchor="_heading=h.1v1yuxt">
            <w:r>
              <w:rPr>
                <w:rFonts w:ascii="Calibri" w:eastAsia="Calibri" w:hAnsi="Calibri" w:cs="Calibri"/>
                <w:color w:val="000000"/>
                <w:sz w:val="22"/>
                <w:szCs w:val="22"/>
              </w:rPr>
              <w:tab/>
            </w:r>
          </w:hyperlink>
          <w:r>
            <w:fldChar w:fldCharType="begin"/>
          </w:r>
          <w:r>
            <w:instrText xml:space="preserve"> PAGEREF _heading=h.1v1yuxt \h </w:instrText>
          </w:r>
          <w:r>
            <w:fldChar w:fldCharType="separate"/>
          </w:r>
          <w:r>
            <w:rPr>
              <w:color w:val="000000"/>
            </w:rPr>
            <w:t>PERSONAS NATURALES</w:t>
          </w:r>
          <w:r>
            <w:rPr>
              <w:color w:val="000000"/>
            </w:rPr>
            <w:tab/>
            <w:t>25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f1mdlm">
            <w:r>
              <w:rPr>
                <w:color w:val="000000"/>
              </w:rPr>
              <w:t>3.4.3.</w:t>
            </w:r>
          </w:hyperlink>
          <w:hyperlink w:anchor="_heading=h.4f1mdlm">
            <w:r>
              <w:rPr>
                <w:rFonts w:ascii="Calibri" w:eastAsia="Calibri" w:hAnsi="Calibri" w:cs="Calibri"/>
                <w:color w:val="000000"/>
                <w:sz w:val="22"/>
                <w:szCs w:val="22"/>
              </w:rPr>
              <w:tab/>
            </w:r>
          </w:hyperlink>
          <w:r>
            <w:fldChar w:fldCharType="begin"/>
          </w:r>
          <w:r>
            <w:instrText xml:space="preserve"> PAGEREF _heading=h.4f1mdlm \h </w:instrText>
          </w:r>
          <w:r>
            <w:fldChar w:fldCharType="separate"/>
          </w:r>
          <w:r>
            <w:rPr>
              <w:color w:val="000000"/>
            </w:rPr>
            <w:t>PROPONENTES PLURALES</w:t>
          </w:r>
          <w:r>
            <w:rPr>
              <w:color w:val="000000"/>
            </w:rPr>
            <w:tab/>
            <w:t>26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u6wntf">
            <w:r>
              <w:rPr>
                <w:color w:val="000000"/>
              </w:rPr>
              <w:t>3.4.4.</w:t>
            </w:r>
          </w:hyperlink>
          <w:hyperlink w:anchor="_heading=h.2u6wntf">
            <w:r>
              <w:rPr>
                <w:rFonts w:ascii="Calibri" w:eastAsia="Calibri" w:hAnsi="Calibri" w:cs="Calibri"/>
                <w:color w:val="000000"/>
                <w:sz w:val="22"/>
                <w:szCs w:val="22"/>
              </w:rPr>
              <w:tab/>
            </w:r>
          </w:hyperlink>
          <w:r>
            <w:fldChar w:fldCharType="begin"/>
          </w:r>
          <w:r>
            <w:instrText xml:space="preserve"> PAGEREF _heading=h.2u6wntf \h </w:instrText>
          </w:r>
          <w:r>
            <w:fldChar w:fldCharType="separate"/>
          </w:r>
          <w:r>
            <w:rPr>
              <w:color w:val="000000"/>
            </w:rPr>
            <w:t>SEGURIDAD SOCIAL PARA LA SUSCRIPCIÓN DEL CONTRATO</w:t>
          </w:r>
          <w:r>
            <w:rPr>
              <w:color w:val="000000"/>
            </w:rPr>
            <w:tab/>
            <w:t>26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9c6y18">
            <w:r>
              <w:rPr>
                <w:color w:val="000000"/>
              </w:rPr>
              <w:t>3.5.</w:t>
            </w:r>
          </w:hyperlink>
          <w:hyperlink w:anchor="_heading=h.19c6y18">
            <w:r>
              <w:rPr>
                <w:rFonts w:ascii="Calibri" w:eastAsia="Calibri" w:hAnsi="Calibri" w:cs="Calibri"/>
                <w:color w:val="000000"/>
                <w:sz w:val="22"/>
                <w:szCs w:val="22"/>
              </w:rPr>
              <w:tab/>
            </w:r>
          </w:hyperlink>
          <w:r>
            <w:fldChar w:fldCharType="begin"/>
          </w:r>
          <w:r>
            <w:instrText xml:space="preserve"> PAGEREF _heading=h.19c6y18 \h </w:instrText>
          </w:r>
          <w:r>
            <w:fldChar w:fldCharType="separate"/>
          </w:r>
          <w:r>
            <w:rPr>
              <w:color w:val="000000"/>
            </w:rPr>
            <w:t>CAPACIDAD FINANCIERA</w:t>
          </w:r>
          <w:r>
            <w:rPr>
              <w:color w:val="000000"/>
            </w:rPr>
            <w:tab/>
            <w:t>26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tbugp1">
            <w:r>
              <w:rPr>
                <w:color w:val="000000"/>
              </w:rPr>
              <w:t>3.6.</w:t>
            </w:r>
          </w:hyperlink>
          <w:hyperlink w:anchor="_heading=h.3tbugp1">
            <w:r>
              <w:rPr>
                <w:rFonts w:ascii="Calibri" w:eastAsia="Calibri" w:hAnsi="Calibri" w:cs="Calibri"/>
                <w:color w:val="000000"/>
                <w:sz w:val="22"/>
                <w:szCs w:val="22"/>
              </w:rPr>
              <w:tab/>
            </w:r>
          </w:hyperlink>
          <w:r>
            <w:fldChar w:fldCharType="begin"/>
          </w:r>
          <w:r>
            <w:instrText xml:space="preserve"> PAGEREF _heading=h.3tbugp1 \h </w:instrText>
          </w:r>
          <w:r>
            <w:fldChar w:fldCharType="separate"/>
          </w:r>
          <w:r>
            <w:rPr>
              <w:color w:val="000000"/>
            </w:rPr>
            <w:t>CAPITAL DE TRABAJO</w:t>
          </w:r>
          <w:r>
            <w:rPr>
              <w:color w:val="000000"/>
            </w:rPr>
            <w:tab/>
            <w:t>27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8h4qwu">
            <w:r>
              <w:rPr>
                <w:color w:val="000000"/>
              </w:rPr>
              <w:t>3.7.</w:t>
            </w:r>
          </w:hyperlink>
          <w:hyperlink w:anchor="_heading=h.28h4qwu">
            <w:r>
              <w:rPr>
                <w:rFonts w:ascii="Calibri" w:eastAsia="Calibri" w:hAnsi="Calibri" w:cs="Calibri"/>
                <w:color w:val="000000"/>
                <w:sz w:val="22"/>
                <w:szCs w:val="22"/>
              </w:rPr>
              <w:tab/>
            </w:r>
          </w:hyperlink>
          <w:r>
            <w:fldChar w:fldCharType="begin"/>
          </w:r>
          <w:r>
            <w:instrText xml:space="preserve"> PAGEREF _heading=h.28h4qwu \h </w:instrText>
          </w:r>
          <w:r>
            <w:fldChar w:fldCharType="separate"/>
          </w:r>
          <w:r>
            <w:rPr>
              <w:color w:val="000000"/>
            </w:rPr>
            <w:t>CAPACIDAD ORGANIZACIONAL</w:t>
          </w:r>
          <w:r>
            <w:rPr>
              <w:color w:val="000000"/>
            </w:rPr>
            <w:tab/>
            <w:t>28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nmf14n">
            <w:r>
              <w:rPr>
                <w:color w:val="000000"/>
              </w:rPr>
              <w:t>3.7.1.</w:t>
            </w:r>
          </w:hyperlink>
          <w:hyperlink w:anchor="_heading=h.nmf14n">
            <w:r>
              <w:rPr>
                <w:rFonts w:ascii="Calibri" w:eastAsia="Calibri" w:hAnsi="Calibri" w:cs="Calibri"/>
                <w:color w:val="000000"/>
                <w:sz w:val="22"/>
                <w:szCs w:val="22"/>
              </w:rPr>
              <w:tab/>
            </w:r>
          </w:hyperlink>
          <w:r>
            <w:fldChar w:fldCharType="begin"/>
          </w:r>
          <w:r>
            <w:instrText xml:space="preserve"> PAGEREF _heading=h.nmf14n \h </w:instrText>
          </w:r>
          <w:r>
            <w:fldChar w:fldCharType="separate"/>
          </w:r>
          <w:r>
            <w:rPr>
              <w:color w:val="000000"/>
            </w:rPr>
            <w:t>ACREDITACIÓN DE LA CAPACIDAD FINANCIERA Y ORGANIZACIONAL</w:t>
          </w:r>
          <w:r>
            <w:rPr>
              <w:color w:val="000000"/>
            </w:rPr>
            <w:tab/>
            <w:t>29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mrcu09">
            <w:r>
              <w:rPr>
                <w:color w:val="000000"/>
              </w:rPr>
              <w:t>3.8.</w:t>
            </w:r>
          </w:hyperlink>
          <w:hyperlink w:anchor="_heading=h.1mrcu09">
            <w:r>
              <w:rPr>
                <w:rFonts w:ascii="Calibri" w:eastAsia="Calibri" w:hAnsi="Calibri" w:cs="Calibri"/>
                <w:color w:val="000000"/>
                <w:sz w:val="22"/>
                <w:szCs w:val="22"/>
              </w:rPr>
              <w:tab/>
            </w:r>
          </w:hyperlink>
          <w:r>
            <w:fldChar w:fldCharType="begin"/>
          </w:r>
          <w:r>
            <w:instrText xml:space="preserve"> PAGEREF _heading=h.1mrcu09 \h </w:instrText>
          </w:r>
          <w:r>
            <w:fldChar w:fldCharType="separate"/>
          </w:r>
          <w:r>
            <w:rPr>
              <w:color w:val="000000"/>
            </w:rPr>
            <w:t>EXIGENCIAS MÍNIMAS DE LA EXPERIENCIA DEL PROPONENTE Y LA EXPERIENCIA Y FORMACIÓN ACADÉMICA DEL EQUIPO DE TRABAJO (Personal Clave Evaluable)</w:t>
          </w:r>
          <w:r>
            <w:rPr>
              <w:color w:val="000000"/>
            </w:rPr>
            <w:tab/>
            <w:t>30</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6r0co2">
            <w:r>
              <w:rPr>
                <w:color w:val="000000"/>
              </w:rPr>
              <w:t>3.8.1.</w:t>
            </w:r>
          </w:hyperlink>
          <w:hyperlink w:anchor="_heading=h.46r0co2">
            <w:r>
              <w:rPr>
                <w:rFonts w:ascii="Calibri" w:eastAsia="Calibri" w:hAnsi="Calibri" w:cs="Calibri"/>
                <w:color w:val="000000"/>
                <w:sz w:val="22"/>
                <w:szCs w:val="22"/>
              </w:rPr>
              <w:tab/>
            </w:r>
          </w:hyperlink>
          <w:r>
            <w:fldChar w:fldCharType="begin"/>
          </w:r>
          <w:r>
            <w:instrText xml:space="preserve"> PAGEREF _heading=h.46r0co2 \h </w:instrText>
          </w:r>
          <w:r>
            <w:fldChar w:fldCharType="separate"/>
          </w:r>
          <w:r>
            <w:rPr>
              <w:color w:val="000000"/>
            </w:rPr>
            <w:t>EXIGENCIA MÍNIMA DE LA EXPERIENCIA DEL PROPONENTE</w:t>
          </w:r>
          <w:r>
            <w:rPr>
              <w:color w:val="000000"/>
            </w:rPr>
            <w:tab/>
            <w:t>30</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lwamvv">
            <w:r>
              <w:rPr>
                <w:color w:val="000000"/>
              </w:rPr>
              <w:t>3.8.2.</w:t>
            </w:r>
          </w:hyperlink>
          <w:hyperlink w:anchor="_heading=h.2lwamvv">
            <w:r>
              <w:rPr>
                <w:rFonts w:ascii="Calibri" w:eastAsia="Calibri" w:hAnsi="Calibri" w:cs="Calibri"/>
                <w:color w:val="000000"/>
                <w:sz w:val="22"/>
                <w:szCs w:val="22"/>
              </w:rPr>
              <w:tab/>
            </w:r>
          </w:hyperlink>
          <w:r>
            <w:fldChar w:fldCharType="begin"/>
          </w:r>
          <w:r>
            <w:instrText xml:space="preserve"> PAGEREF _heading=h.2lwamvv \h </w:instrText>
          </w:r>
          <w:r>
            <w:fldChar w:fldCharType="separate"/>
          </w:r>
          <w:r>
            <w:rPr>
              <w:color w:val="000000"/>
            </w:rPr>
            <w:t>EXIGENCIAS MÍNIMAS DE EXPERIENCIA Y FORMACIÓN ACADÉMICA DEL EQUIPO DE TRABAJ</w:t>
          </w:r>
          <w:r>
            <w:rPr>
              <w:color w:val="000000"/>
            </w:rPr>
            <w:t>O (Personal Clave Evaluable)</w:t>
          </w:r>
          <w:r>
            <w:rPr>
              <w:color w:val="000000"/>
            </w:rPr>
            <w:tab/>
            <w:t>30</w:t>
          </w:r>
          <w:r>
            <w:fldChar w:fldCharType="end"/>
          </w:r>
        </w:p>
        <w:p w:rsidR="00522688" w:rsidRDefault="004E4FBB">
          <w:pPr>
            <w:pBdr>
              <w:top w:val="nil"/>
              <w:left w:val="nil"/>
              <w:bottom w:val="nil"/>
              <w:right w:val="nil"/>
              <w:between w:val="nil"/>
            </w:pBdr>
            <w:tabs>
              <w:tab w:val="right" w:pos="8919"/>
              <w:tab w:val="left" w:pos="1760"/>
            </w:tabs>
            <w:rPr>
              <w:rFonts w:ascii="Calibri" w:eastAsia="Calibri" w:hAnsi="Calibri" w:cs="Calibri"/>
              <w:color w:val="000000"/>
              <w:sz w:val="22"/>
              <w:szCs w:val="22"/>
            </w:rPr>
          </w:pPr>
          <w:hyperlink w:anchor="_heading=h.111kx3o">
            <w:r>
              <w:rPr>
                <w:color w:val="000000"/>
              </w:rPr>
              <w:t>CAPÍTULO IV.</w:t>
            </w:r>
          </w:hyperlink>
          <w:hyperlink w:anchor="_heading=h.111kx3o">
            <w:r>
              <w:rPr>
                <w:rFonts w:ascii="Calibri" w:eastAsia="Calibri" w:hAnsi="Calibri" w:cs="Calibri"/>
                <w:color w:val="000000"/>
                <w:sz w:val="22"/>
                <w:szCs w:val="22"/>
              </w:rPr>
              <w:tab/>
            </w:r>
          </w:hyperlink>
          <w:r>
            <w:fldChar w:fldCharType="begin"/>
          </w:r>
          <w:r>
            <w:instrText xml:space="preserve"> PAGEREF _heading=h.111kx3o \h </w:instrText>
          </w:r>
          <w:r>
            <w:fldChar w:fldCharType="separate"/>
          </w:r>
          <w:r>
            <w:rPr>
              <w:color w:val="000000"/>
            </w:rPr>
            <w:t>CRITERIOS DE EVALUACIÓN, A</w:t>
          </w:r>
          <w:r>
            <w:rPr>
              <w:color w:val="000000"/>
            </w:rPr>
            <w:t>SIGNACIÓN DE PUNTAJE Y CRITERIOS DE DESEMPATE</w:t>
          </w:r>
          <w:r>
            <w:rPr>
              <w:color w:val="000000"/>
            </w:rPr>
            <w:tab/>
            <w:t>33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l18frh">
            <w:r>
              <w:rPr>
                <w:color w:val="000000"/>
              </w:rPr>
              <w:t>4.1.</w:t>
            </w:r>
          </w:hyperlink>
          <w:hyperlink w:anchor="_heading=h.3l18frh">
            <w:r>
              <w:rPr>
                <w:rFonts w:ascii="Calibri" w:eastAsia="Calibri" w:hAnsi="Calibri" w:cs="Calibri"/>
                <w:color w:val="000000"/>
                <w:sz w:val="22"/>
                <w:szCs w:val="22"/>
              </w:rPr>
              <w:tab/>
            </w:r>
          </w:hyperlink>
          <w:r>
            <w:fldChar w:fldCharType="begin"/>
          </w:r>
          <w:r>
            <w:instrText xml:space="preserve"> PAGEREF _heading=h.3l18frh \h </w:instrText>
          </w:r>
          <w:r>
            <w:fldChar w:fldCharType="separate"/>
          </w:r>
          <w:r>
            <w:rPr>
              <w:color w:val="000000"/>
            </w:rPr>
            <w:t>FORMA DE VERIFICACIÓN Y ASIGNACIÓN DE PUNTAJE POR LA EXPERIENCIA DEL PROPONENTE</w:t>
          </w:r>
          <w:r>
            <w:rPr>
              <w:color w:val="000000"/>
            </w:rPr>
            <w:tab/>
            <w:t>33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k668n3">
            <w:r>
              <w:rPr>
                <w:color w:val="000000"/>
              </w:rPr>
              <w:t>4.2.</w:t>
            </w:r>
          </w:hyperlink>
          <w:hyperlink w:anchor="_heading=h.4k668n3">
            <w:r>
              <w:rPr>
                <w:rFonts w:ascii="Calibri" w:eastAsia="Calibri" w:hAnsi="Calibri" w:cs="Calibri"/>
                <w:color w:val="000000"/>
                <w:sz w:val="22"/>
                <w:szCs w:val="22"/>
              </w:rPr>
              <w:tab/>
            </w:r>
          </w:hyperlink>
          <w:r>
            <w:fldChar w:fldCharType="begin"/>
          </w:r>
          <w:r>
            <w:instrText xml:space="preserve"> PAGEREF _hea</w:instrText>
          </w:r>
          <w:r>
            <w:instrText xml:space="preserve">ding=h.4k668n3 \h </w:instrText>
          </w:r>
          <w:r>
            <w:fldChar w:fldCharType="separate"/>
          </w:r>
          <w:r>
            <w:rPr>
              <w:color w:val="000000"/>
            </w:rPr>
            <w:t>EQUIPOS DE TRABAJO (Personal Clave Evaluable)</w:t>
          </w:r>
          <w:r>
            <w:rPr>
              <w:color w:val="000000"/>
            </w:rPr>
            <w:tab/>
            <w:t>37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zbgiuw">
            <w:r>
              <w:rPr>
                <w:color w:val="000000"/>
              </w:rPr>
              <w:t>4.2.1.</w:t>
            </w:r>
          </w:hyperlink>
          <w:hyperlink w:anchor="_heading=h.2zbgiuw">
            <w:r>
              <w:rPr>
                <w:rFonts w:ascii="Calibri" w:eastAsia="Calibri" w:hAnsi="Calibri" w:cs="Calibri"/>
                <w:color w:val="000000"/>
                <w:sz w:val="22"/>
                <w:szCs w:val="22"/>
              </w:rPr>
              <w:tab/>
            </w:r>
          </w:hyperlink>
          <w:r>
            <w:fldChar w:fldCharType="begin"/>
          </w:r>
          <w:r>
            <w:instrText xml:space="preserve"> PAGEREF _heading=h.2zbgiuw</w:instrText>
          </w:r>
          <w:r>
            <w:instrText xml:space="preserve"> \h </w:instrText>
          </w:r>
          <w:r>
            <w:fldChar w:fldCharType="separate"/>
          </w:r>
          <w:r>
            <w:rPr>
              <w:color w:val="000000"/>
            </w:rPr>
            <w:t>EXPERIENCIA ESPECÍFICA ADICIONAL</w:t>
          </w:r>
          <w:r>
            <w:rPr>
              <w:color w:val="000000"/>
            </w:rPr>
            <w:tab/>
            <w:t>37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egqt2p">
            <w:r>
              <w:rPr>
                <w:color w:val="000000"/>
              </w:rPr>
              <w:t>4.2.2.</w:t>
            </w:r>
          </w:hyperlink>
          <w:hyperlink w:anchor="_heading=h.1egqt2p">
            <w:r>
              <w:rPr>
                <w:rFonts w:ascii="Calibri" w:eastAsia="Calibri" w:hAnsi="Calibri" w:cs="Calibri"/>
                <w:color w:val="000000"/>
                <w:sz w:val="22"/>
                <w:szCs w:val="22"/>
              </w:rPr>
              <w:tab/>
            </w:r>
          </w:hyperlink>
          <w:r>
            <w:fldChar w:fldCharType="begin"/>
          </w:r>
          <w:r>
            <w:instrText xml:space="preserve"> PAGEREF _heading=h.1egqt2p \h </w:instrText>
          </w:r>
          <w:r>
            <w:fldChar w:fldCharType="separate"/>
          </w:r>
          <w:r>
            <w:rPr>
              <w:color w:val="000000"/>
            </w:rPr>
            <w:t>FORMACIÓN ACADÉMICA ADICIONAL</w:t>
          </w:r>
          <w:r>
            <w:rPr>
              <w:color w:val="000000"/>
            </w:rPr>
            <w:tab/>
            <w:t>37</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ygebqi">
            <w:r>
              <w:rPr>
                <w:color w:val="000000"/>
              </w:rPr>
              <w:t>4.2.3.</w:t>
            </w:r>
          </w:hyperlink>
          <w:hyperlink w:anchor="_heading=h.3ygebqi">
            <w:r>
              <w:rPr>
                <w:rFonts w:ascii="Calibri" w:eastAsia="Calibri" w:hAnsi="Calibri" w:cs="Calibri"/>
                <w:color w:val="000000"/>
                <w:sz w:val="22"/>
                <w:szCs w:val="22"/>
              </w:rPr>
              <w:tab/>
            </w:r>
          </w:hyperlink>
          <w:r>
            <w:fldChar w:fldCharType="begin"/>
          </w:r>
          <w:r>
            <w:instrText xml:space="preserve"> PAGEREF _heading=h.3ygebqi \h </w:instrText>
          </w:r>
          <w:r>
            <w:fldChar w:fldCharType="separate"/>
          </w:r>
          <w:r>
            <w:rPr>
              <w:color w:val="000000"/>
            </w:rPr>
            <w:t>CAMBIO DEL PERSONAL CLAVE EVALUABLE</w:t>
          </w:r>
          <w:r>
            <w:rPr>
              <w:color w:val="000000"/>
            </w:rPr>
            <w:tab/>
            <w:t>38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dlolyb">
            <w:r>
              <w:rPr>
                <w:color w:val="000000"/>
              </w:rPr>
              <w:t>4.3.</w:t>
            </w:r>
          </w:hyperlink>
          <w:hyperlink w:anchor="_heading=h.2dlolyb">
            <w:r>
              <w:rPr>
                <w:rFonts w:ascii="Calibri" w:eastAsia="Calibri" w:hAnsi="Calibri" w:cs="Calibri"/>
                <w:color w:val="000000"/>
                <w:sz w:val="22"/>
                <w:szCs w:val="22"/>
              </w:rPr>
              <w:tab/>
            </w:r>
          </w:hyperlink>
          <w:r>
            <w:fldChar w:fldCharType="begin"/>
          </w:r>
          <w:r>
            <w:instrText xml:space="preserve"> PAGEREF _heading=h.2dlolyb \h </w:instrText>
          </w:r>
          <w:r>
            <w:fldChar w:fldCharType="separate"/>
          </w:r>
          <w:r>
            <w:rPr>
              <w:color w:val="000000"/>
            </w:rPr>
            <w:t>FACTOR DE SOSTENIBILIDAD</w:t>
          </w:r>
          <w:r>
            <w:rPr>
              <w:color w:val="000000"/>
            </w:rPr>
            <w:tab/>
            <w:t>3</w:t>
          </w:r>
          <w:r>
            <w:rPr>
              <w:color w:val="000000"/>
            </w:rPr>
            <w:t>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sqyw64">
            <w:r>
              <w:rPr>
                <w:color w:val="000000"/>
              </w:rPr>
              <w:t>4.4.</w:t>
            </w:r>
          </w:hyperlink>
          <w:hyperlink w:anchor="_heading=h.sqyw64">
            <w:r>
              <w:rPr>
                <w:rFonts w:ascii="Calibri" w:eastAsia="Calibri" w:hAnsi="Calibri" w:cs="Calibri"/>
                <w:color w:val="000000"/>
                <w:sz w:val="22"/>
                <w:szCs w:val="22"/>
              </w:rPr>
              <w:tab/>
            </w:r>
          </w:hyperlink>
          <w:r>
            <w:fldChar w:fldCharType="begin"/>
          </w:r>
          <w:r>
            <w:instrText xml:space="preserve"> PAGEREF _heading=h.sqyw64 \h </w:instrText>
          </w:r>
          <w:r>
            <w:fldChar w:fldCharType="separate"/>
          </w:r>
          <w:r>
            <w:rPr>
              <w:color w:val="000000"/>
            </w:rPr>
            <w:t>APOYO A LA INDUSTRIA NACIONAL</w:t>
          </w:r>
          <w:r>
            <w:rPr>
              <w:color w:val="000000"/>
            </w:rPr>
            <w:tab/>
            <w:t>39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cqmetx">
            <w:r>
              <w:rPr>
                <w:color w:val="000000"/>
              </w:rPr>
              <w:t>4.4.1.</w:t>
            </w:r>
          </w:hyperlink>
          <w:hyperlink w:anchor="_heading=h.3cqmetx">
            <w:r>
              <w:rPr>
                <w:rFonts w:ascii="Calibri" w:eastAsia="Calibri" w:hAnsi="Calibri" w:cs="Calibri"/>
                <w:color w:val="000000"/>
                <w:sz w:val="22"/>
                <w:szCs w:val="22"/>
              </w:rPr>
              <w:tab/>
            </w:r>
          </w:hyperlink>
          <w:r>
            <w:fldChar w:fldCharType="begin"/>
          </w:r>
          <w:r>
            <w:instrText xml:space="preserve"> PAGEREF _heading=h.3cqmetx \h </w:instrText>
          </w:r>
          <w:r>
            <w:fldChar w:fldCharType="separate"/>
          </w:r>
          <w:r>
            <w:rPr>
              <w:color w:val="000000"/>
            </w:rPr>
            <w:t>PROMOCIÓN DE SERVICIOS NACIONALES O CON TRATO NACIONAL</w:t>
          </w:r>
          <w:r>
            <w:rPr>
              <w:color w:val="000000"/>
            </w:rPr>
            <w:tab/>
            <w:t>39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bvk7pj">
            <w:r>
              <w:rPr>
                <w:color w:val="000000"/>
              </w:rPr>
              <w:t>4.4.2.</w:t>
            </w:r>
          </w:hyperlink>
          <w:hyperlink w:anchor="_heading=h.4bvk7pj">
            <w:r>
              <w:rPr>
                <w:rFonts w:ascii="Calibri" w:eastAsia="Calibri" w:hAnsi="Calibri" w:cs="Calibri"/>
                <w:color w:val="000000"/>
                <w:sz w:val="22"/>
                <w:szCs w:val="22"/>
              </w:rPr>
              <w:tab/>
            </w:r>
          </w:hyperlink>
          <w:r>
            <w:fldChar w:fldCharType="begin"/>
          </w:r>
          <w:r>
            <w:instrText xml:space="preserve"> PAGEREF _heading=h.4bvk7pj \h </w:instrText>
          </w:r>
          <w:r>
            <w:fldChar w:fldCharType="separate"/>
          </w:r>
          <w:r>
            <w:rPr>
              <w:color w:val="000000"/>
            </w:rPr>
            <w:t>INCORPORACIÓN DE COMPONENTE NACIONAL EN SERVICIOS EXTRANJEROS</w:t>
          </w:r>
          <w:r>
            <w:rPr>
              <w:color w:val="000000"/>
            </w:rPr>
            <w:tab/>
            <w:t>41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r0uhxc">
            <w:r>
              <w:rPr>
                <w:color w:val="000000"/>
              </w:rPr>
              <w:t>4.5.</w:t>
            </w:r>
          </w:hyperlink>
          <w:hyperlink w:anchor="_heading=h.2r0uhxc">
            <w:r>
              <w:rPr>
                <w:rFonts w:ascii="Calibri" w:eastAsia="Calibri" w:hAnsi="Calibri" w:cs="Calibri"/>
                <w:color w:val="000000"/>
                <w:sz w:val="22"/>
                <w:szCs w:val="22"/>
              </w:rPr>
              <w:tab/>
            </w:r>
          </w:hyperlink>
          <w:r>
            <w:fldChar w:fldCharType="begin"/>
          </w:r>
          <w:r>
            <w:instrText xml:space="preserve"> PAGEREF _heading=h.2r0uhxc \h </w:instrText>
          </w:r>
          <w:r>
            <w:fldChar w:fldCharType="separate"/>
          </w:r>
          <w:r>
            <w:rPr>
              <w:color w:val="000000"/>
            </w:rPr>
            <w:t>VINCULACIÓN DE PERSONAS CON DISCAPACIDAD</w:t>
          </w:r>
          <w:r>
            <w:rPr>
              <w:color w:val="000000"/>
            </w:rPr>
            <w:tab/>
            <w:t>42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664s55">
            <w:r>
              <w:rPr>
                <w:color w:val="000000"/>
              </w:rPr>
              <w:t>4.6.</w:t>
            </w:r>
          </w:hyperlink>
          <w:hyperlink w:anchor="_heading=h.1664s55">
            <w:r>
              <w:rPr>
                <w:rFonts w:ascii="Calibri" w:eastAsia="Calibri" w:hAnsi="Calibri" w:cs="Calibri"/>
                <w:color w:val="000000"/>
                <w:sz w:val="22"/>
                <w:szCs w:val="22"/>
              </w:rPr>
              <w:tab/>
            </w:r>
          </w:hyperlink>
          <w:r>
            <w:fldChar w:fldCharType="begin"/>
          </w:r>
          <w:r>
            <w:instrText xml:space="preserve"> PAGEREF _heading=h.1664s55 \h </w:instrText>
          </w:r>
          <w:r>
            <w:fldChar w:fldCharType="separate"/>
          </w:r>
          <w:r>
            <w:rPr>
              <w:color w:val="000000"/>
            </w:rPr>
            <w:t>EMPRENDIMIENTOS Y EMPRESAS DE MUJERES</w:t>
          </w:r>
          <w:r>
            <w:rPr>
              <w:color w:val="000000"/>
            </w:rPr>
            <w:tab/>
            <w:t>42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q5sasy">
            <w:r>
              <w:rPr>
                <w:color w:val="000000"/>
              </w:rPr>
              <w:t>4.7.</w:t>
            </w:r>
          </w:hyperlink>
          <w:hyperlink w:anchor="_heading=h.3q5sasy">
            <w:r>
              <w:rPr>
                <w:rFonts w:ascii="Calibri" w:eastAsia="Calibri" w:hAnsi="Calibri" w:cs="Calibri"/>
                <w:color w:val="000000"/>
                <w:sz w:val="22"/>
                <w:szCs w:val="22"/>
              </w:rPr>
              <w:tab/>
            </w:r>
          </w:hyperlink>
          <w:r>
            <w:fldChar w:fldCharType="begin"/>
          </w:r>
          <w:r>
            <w:instrText xml:space="preserve"> PAGEREF _heading=h.3q5sasy \h </w:instrText>
          </w:r>
          <w:r>
            <w:fldChar w:fldCharType="separate"/>
          </w:r>
          <w:r>
            <w:rPr>
              <w:color w:val="000000"/>
            </w:rPr>
            <w:t>MIPYME DOMICILIADA EN COLOMBIA</w:t>
          </w:r>
          <w:r>
            <w:rPr>
              <w:color w:val="000000"/>
            </w:rPr>
            <w:tab/>
            <w:t>43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5b2l0r">
            <w:r>
              <w:rPr>
                <w:color w:val="000000"/>
              </w:rPr>
              <w:t>4.8.</w:t>
            </w:r>
          </w:hyperlink>
          <w:hyperlink w:anchor="_heading=h.25b2l0r">
            <w:r>
              <w:rPr>
                <w:rFonts w:ascii="Calibri" w:eastAsia="Calibri" w:hAnsi="Calibri" w:cs="Calibri"/>
                <w:color w:val="000000"/>
                <w:sz w:val="22"/>
                <w:szCs w:val="22"/>
              </w:rPr>
              <w:tab/>
            </w:r>
          </w:hyperlink>
          <w:r>
            <w:fldChar w:fldCharType="begin"/>
          </w:r>
          <w:r>
            <w:instrText xml:space="preserve"> PAGEREF _heading=h.25b2l0r \h </w:instrText>
          </w:r>
          <w:r>
            <w:fldChar w:fldCharType="separate"/>
          </w:r>
          <w:r>
            <w:rPr>
              <w:color w:val="000000"/>
            </w:rPr>
            <w:t>CRITERIOS DE DESEMPATE</w:t>
          </w:r>
          <w:r>
            <w:rPr>
              <w:color w:val="000000"/>
            </w:rPr>
            <w:tab/>
            <w:t>43</w:t>
          </w:r>
          <w:r>
            <w:fldChar w:fldCharType="end"/>
          </w:r>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kgcv8k">
            <w:r>
              <w:rPr>
                <w:color w:val="000000"/>
              </w:rPr>
              <w:t>CA</w:t>
            </w:r>
            <w:r>
              <w:rPr>
                <w:color w:val="000000"/>
              </w:rPr>
              <w:t>PÍTULO V.</w:t>
            </w:r>
          </w:hyperlink>
          <w:hyperlink w:anchor="_heading=h.kgcv8k">
            <w:r>
              <w:rPr>
                <w:rFonts w:ascii="Calibri" w:eastAsia="Calibri" w:hAnsi="Calibri" w:cs="Calibri"/>
                <w:color w:val="000000"/>
                <w:sz w:val="22"/>
                <w:szCs w:val="22"/>
              </w:rPr>
              <w:tab/>
            </w:r>
          </w:hyperlink>
          <w:r>
            <w:fldChar w:fldCharType="begin"/>
          </w:r>
          <w:r>
            <w:instrText xml:space="preserve"> PAGEREF _heading=h.kgcv8k \h </w:instrText>
          </w:r>
          <w:r>
            <w:fldChar w:fldCharType="separate"/>
          </w:r>
          <w:r>
            <w:rPr>
              <w:color w:val="000000"/>
            </w:rPr>
            <w:t>OFERTA ECONÓMICA</w:t>
          </w:r>
          <w:r>
            <w:rPr>
              <w:color w:val="000000"/>
            </w:rPr>
            <w:tab/>
            <w:t>52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4g0dwd">
            <w:r>
              <w:rPr>
                <w:color w:val="000000"/>
              </w:rPr>
              <w:t>5.1.</w:t>
            </w:r>
          </w:hyperlink>
          <w:hyperlink w:anchor="_heading=h.34g0dwd">
            <w:r>
              <w:rPr>
                <w:rFonts w:ascii="Calibri" w:eastAsia="Calibri" w:hAnsi="Calibri" w:cs="Calibri"/>
                <w:color w:val="000000"/>
                <w:sz w:val="22"/>
                <w:szCs w:val="22"/>
              </w:rPr>
              <w:tab/>
            </w:r>
          </w:hyperlink>
          <w:r>
            <w:fldChar w:fldCharType="begin"/>
          </w:r>
          <w:r>
            <w:instrText xml:space="preserve"> PAGEREF _heading=h.34g0dwd \h </w:instrText>
          </w:r>
          <w:r>
            <w:fldChar w:fldCharType="separate"/>
          </w:r>
          <w:r>
            <w:rPr>
              <w:color w:val="000000"/>
            </w:rPr>
            <w:t>CORRECCIONES ARITMÉTICAS</w:t>
          </w:r>
          <w:r>
            <w:rPr>
              <w:color w:val="000000"/>
            </w:rPr>
            <w:tab/>
            <w:t>52</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jlao46">
            <w:r>
              <w:rPr>
                <w:color w:val="000000"/>
              </w:rPr>
              <w:t>5.2.</w:t>
            </w:r>
          </w:hyperlink>
          <w:hyperlink w:anchor="_heading=h.1jlao46">
            <w:r>
              <w:rPr>
                <w:rFonts w:ascii="Calibri" w:eastAsia="Calibri" w:hAnsi="Calibri" w:cs="Calibri"/>
                <w:color w:val="000000"/>
                <w:sz w:val="22"/>
                <w:szCs w:val="22"/>
              </w:rPr>
              <w:tab/>
            </w:r>
          </w:hyperlink>
          <w:r>
            <w:fldChar w:fldCharType="begin"/>
          </w:r>
          <w:r>
            <w:instrText xml:space="preserve"> PAGEREF _heading=h.1jlao46 \h </w:instrText>
          </w:r>
          <w:r>
            <w:fldChar w:fldCharType="separate"/>
          </w:r>
          <w:r>
            <w:rPr>
              <w:color w:val="000000"/>
            </w:rPr>
            <w:t>PREC</w:t>
          </w:r>
          <w:r>
            <w:rPr>
              <w:color w:val="000000"/>
            </w:rPr>
            <w:t>IO ARTIFICIALMENTE BAJO</w:t>
          </w:r>
          <w:r>
            <w:rPr>
              <w:color w:val="000000"/>
            </w:rPr>
            <w:tab/>
            <w:t>52</w:t>
          </w:r>
          <w:r>
            <w:fldChar w:fldCharType="end"/>
          </w:r>
        </w:p>
        <w:p w:rsidR="00522688" w:rsidRDefault="004E4FBB">
          <w:pPr>
            <w:pBdr>
              <w:top w:val="nil"/>
              <w:left w:val="nil"/>
              <w:bottom w:val="nil"/>
              <w:right w:val="nil"/>
              <w:between w:val="nil"/>
            </w:pBdr>
            <w:tabs>
              <w:tab w:val="right" w:pos="8919"/>
              <w:tab w:val="left" w:pos="1760"/>
            </w:tabs>
            <w:rPr>
              <w:rFonts w:ascii="Calibri" w:eastAsia="Calibri" w:hAnsi="Calibri" w:cs="Calibri"/>
              <w:color w:val="000000"/>
              <w:sz w:val="22"/>
              <w:szCs w:val="22"/>
            </w:rPr>
          </w:pPr>
          <w:hyperlink w:anchor="_heading=h.43ky6rz">
            <w:r>
              <w:rPr>
                <w:color w:val="000000"/>
              </w:rPr>
              <w:t>CAPÍTULO VI.</w:t>
            </w:r>
          </w:hyperlink>
          <w:hyperlink w:anchor="_heading=h.43ky6rz">
            <w:r>
              <w:rPr>
                <w:rFonts w:ascii="Calibri" w:eastAsia="Calibri" w:hAnsi="Calibri" w:cs="Calibri"/>
                <w:color w:val="000000"/>
                <w:sz w:val="22"/>
                <w:szCs w:val="22"/>
              </w:rPr>
              <w:tab/>
            </w:r>
          </w:hyperlink>
          <w:r>
            <w:fldChar w:fldCharType="begin"/>
          </w:r>
          <w:r>
            <w:instrText xml:space="preserve"> PAGEREF _heading=h.43ky6rz \h </w:instrText>
          </w:r>
          <w:r>
            <w:fldChar w:fldCharType="separate"/>
          </w:r>
          <w:r>
            <w:rPr>
              <w:color w:val="000000"/>
            </w:rPr>
            <w:t>RIESGOS ASOCIADOS AL CONTRATO, FORMA DE MITIGARLOS Y ASIGNACIÓN DE RIESGOS</w:t>
          </w:r>
          <w:r>
            <w:rPr>
              <w:color w:val="000000"/>
            </w:rPr>
            <w:tab/>
            <w:t>53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iq8gzs">
            <w:r>
              <w:rPr>
                <w:color w:val="000000"/>
              </w:rPr>
              <w:t>6.1.</w:t>
            </w:r>
          </w:hyperlink>
          <w:hyperlink w:anchor="_heading=h.2iq8gzs">
            <w:r>
              <w:rPr>
                <w:rFonts w:ascii="Calibri" w:eastAsia="Calibri" w:hAnsi="Calibri" w:cs="Calibri"/>
                <w:color w:val="000000"/>
                <w:sz w:val="22"/>
                <w:szCs w:val="22"/>
              </w:rPr>
              <w:tab/>
            </w:r>
          </w:hyperlink>
          <w:r>
            <w:fldChar w:fldCharType="begin"/>
          </w:r>
          <w:r>
            <w:instrText xml:space="preserve"> PAGEREF _heading=h</w:instrText>
          </w:r>
          <w:r>
            <w:instrText xml:space="preserve">.2iq8gzs \h </w:instrText>
          </w:r>
          <w:r>
            <w:fldChar w:fldCharType="separate"/>
          </w:r>
          <w:r>
            <w:rPr>
              <w:color w:val="000000"/>
            </w:rPr>
            <w:t>ASIGNACIÓN DE RIESGOS</w:t>
          </w:r>
          <w:r>
            <w:rPr>
              <w:color w:val="000000"/>
            </w:rPr>
            <w:tab/>
            <w:t>53</w:t>
          </w:r>
          <w:r>
            <w:fldChar w:fldCharType="end"/>
          </w:r>
        </w:p>
        <w:p w:rsidR="00522688" w:rsidRDefault="004E4FBB">
          <w:pPr>
            <w:pBdr>
              <w:top w:val="nil"/>
              <w:left w:val="nil"/>
              <w:bottom w:val="nil"/>
              <w:right w:val="nil"/>
              <w:between w:val="nil"/>
            </w:pBdr>
            <w:tabs>
              <w:tab w:val="right" w:pos="8919"/>
              <w:tab w:val="left" w:pos="1760"/>
            </w:tabs>
            <w:rPr>
              <w:rFonts w:ascii="Calibri" w:eastAsia="Calibri" w:hAnsi="Calibri" w:cs="Calibri"/>
              <w:color w:val="000000"/>
              <w:sz w:val="22"/>
              <w:szCs w:val="22"/>
            </w:rPr>
          </w:pPr>
          <w:hyperlink w:anchor="_heading=h.xvir7l">
            <w:r>
              <w:rPr>
                <w:color w:val="000000"/>
              </w:rPr>
              <w:t>CAPÍTULO VII.</w:t>
            </w:r>
          </w:hyperlink>
          <w:hyperlink w:anchor="_heading=h.xvir7l">
            <w:r>
              <w:rPr>
                <w:rFonts w:ascii="Calibri" w:eastAsia="Calibri" w:hAnsi="Calibri" w:cs="Calibri"/>
                <w:color w:val="000000"/>
                <w:sz w:val="22"/>
                <w:szCs w:val="22"/>
              </w:rPr>
              <w:tab/>
            </w:r>
          </w:hyperlink>
          <w:r>
            <w:fldChar w:fldCharType="begin"/>
          </w:r>
          <w:r>
            <w:instrText xml:space="preserve"> PAGEREF _heading=h.xvir7l \h </w:instrText>
          </w:r>
          <w:r>
            <w:fldChar w:fldCharType="separate"/>
          </w:r>
          <w:r>
            <w:rPr>
              <w:color w:val="000000"/>
            </w:rPr>
            <w:t>ACUERDOS COMERCIALES</w:t>
          </w:r>
          <w:r>
            <w:rPr>
              <w:color w:val="000000"/>
            </w:rPr>
            <w:tab/>
            <w:t>5</w:t>
          </w:r>
          <w:r>
            <w:rPr>
              <w:color w:val="000000"/>
            </w:rPr>
            <w:t>4</w:t>
          </w:r>
          <w:r>
            <w:fldChar w:fldCharType="end"/>
          </w:r>
        </w:p>
        <w:p w:rsidR="00522688" w:rsidRDefault="004E4FBB">
          <w:pPr>
            <w:pBdr>
              <w:top w:val="nil"/>
              <w:left w:val="nil"/>
              <w:bottom w:val="nil"/>
              <w:right w:val="nil"/>
              <w:between w:val="nil"/>
            </w:pBdr>
            <w:tabs>
              <w:tab w:val="right" w:pos="8919"/>
              <w:tab w:val="left" w:pos="1760"/>
            </w:tabs>
            <w:rPr>
              <w:rFonts w:ascii="Calibri" w:eastAsia="Calibri" w:hAnsi="Calibri" w:cs="Calibri"/>
              <w:color w:val="000000"/>
              <w:sz w:val="22"/>
              <w:szCs w:val="22"/>
            </w:rPr>
          </w:pPr>
          <w:hyperlink w:anchor="_heading=h.3hv69ve">
            <w:r>
              <w:rPr>
                <w:color w:val="000000"/>
              </w:rPr>
              <w:t>CAPÍTULO VIII.</w:t>
            </w:r>
          </w:hyperlink>
          <w:hyperlink w:anchor="_heading=h.3hv69ve">
            <w:r>
              <w:rPr>
                <w:rFonts w:ascii="Calibri" w:eastAsia="Calibri" w:hAnsi="Calibri" w:cs="Calibri"/>
                <w:color w:val="000000"/>
                <w:sz w:val="22"/>
                <w:szCs w:val="22"/>
              </w:rPr>
              <w:tab/>
            </w:r>
          </w:hyperlink>
          <w:r>
            <w:fldChar w:fldCharType="begin"/>
          </w:r>
          <w:r>
            <w:instrText xml:space="preserve"> PAGEREF _heading=h.3hv69ve \h </w:instrText>
          </w:r>
          <w:r>
            <w:fldChar w:fldCharType="separate"/>
          </w:r>
          <w:r>
            <w:rPr>
              <w:color w:val="000000"/>
            </w:rPr>
            <w:t>GARANTÍAS</w:t>
          </w:r>
          <w:r>
            <w:rPr>
              <w:color w:val="000000"/>
            </w:rPr>
            <w:tab/>
            <w:t>55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x0gk37">
            <w:r>
              <w:rPr>
                <w:color w:val="000000"/>
              </w:rPr>
              <w:t>8.1.</w:t>
            </w:r>
          </w:hyperlink>
          <w:hyperlink w:anchor="_heading=h.1x0gk37">
            <w:r>
              <w:rPr>
                <w:rFonts w:ascii="Calibri" w:eastAsia="Calibri" w:hAnsi="Calibri" w:cs="Calibri"/>
                <w:color w:val="000000"/>
                <w:sz w:val="22"/>
                <w:szCs w:val="22"/>
              </w:rPr>
              <w:tab/>
            </w:r>
          </w:hyperlink>
          <w:r>
            <w:fldChar w:fldCharType="begin"/>
          </w:r>
          <w:r>
            <w:instrText xml:space="preserve"> PAGEREF _heading=h.1x0gk37 \h </w:instrText>
          </w:r>
          <w:r>
            <w:fldChar w:fldCharType="separate"/>
          </w:r>
          <w:r>
            <w:rPr>
              <w:color w:val="000000"/>
            </w:rPr>
            <w:t>GARANTÍA DE SERIEDAD DE LA OFERTA</w:t>
          </w:r>
          <w:r>
            <w:rPr>
              <w:color w:val="000000"/>
            </w:rPr>
            <w:tab/>
            <w:t>55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h042r0">
            <w:r>
              <w:rPr>
                <w:color w:val="000000"/>
              </w:rPr>
              <w:t>8.2.</w:t>
            </w:r>
          </w:hyperlink>
          <w:hyperlink w:anchor="_heading=h.4h042r0">
            <w:r>
              <w:rPr>
                <w:rFonts w:ascii="Calibri" w:eastAsia="Calibri" w:hAnsi="Calibri" w:cs="Calibri"/>
                <w:color w:val="000000"/>
                <w:sz w:val="22"/>
                <w:szCs w:val="22"/>
              </w:rPr>
              <w:tab/>
            </w:r>
          </w:hyperlink>
          <w:r>
            <w:fldChar w:fldCharType="begin"/>
          </w:r>
          <w:r>
            <w:instrText xml:space="preserve"> PAGEREF _heading=h.4h042r0 \h </w:instrText>
          </w:r>
          <w:r>
            <w:fldChar w:fldCharType="separate"/>
          </w:r>
          <w:r>
            <w:rPr>
              <w:color w:val="000000"/>
            </w:rPr>
            <w:t>GARANTÍAS DEL CONTRATO</w:t>
          </w:r>
          <w:r>
            <w:rPr>
              <w:color w:val="000000"/>
            </w:rPr>
            <w:tab/>
            <w:t>55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w5ecyt">
            <w:r>
              <w:rPr>
                <w:color w:val="000000"/>
              </w:rPr>
              <w:t>8.2.1.</w:t>
            </w:r>
          </w:hyperlink>
          <w:hyperlink w:anchor="_heading=h.2w5ecyt">
            <w:r>
              <w:rPr>
                <w:rFonts w:ascii="Calibri" w:eastAsia="Calibri" w:hAnsi="Calibri" w:cs="Calibri"/>
                <w:color w:val="000000"/>
                <w:sz w:val="22"/>
                <w:szCs w:val="22"/>
              </w:rPr>
              <w:tab/>
            </w:r>
          </w:hyperlink>
          <w:r>
            <w:fldChar w:fldCharType="begin"/>
          </w:r>
          <w:r>
            <w:instrText xml:space="preserve"> PAGEREF _heading=h.2w5ecyt \h </w:instrText>
          </w:r>
          <w:r>
            <w:fldChar w:fldCharType="separate"/>
          </w:r>
          <w:r>
            <w:rPr>
              <w:color w:val="000000"/>
            </w:rPr>
            <w:t>GARANTÍA DE CUMPLIMIENTO</w:t>
          </w:r>
          <w:r>
            <w:rPr>
              <w:color w:val="000000"/>
            </w:rPr>
            <w:tab/>
            <w:t>56</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baon6m">
            <w:r>
              <w:rPr>
                <w:color w:val="000000"/>
              </w:rPr>
              <w:t>8.2.2.</w:t>
            </w:r>
          </w:hyperlink>
          <w:hyperlink w:anchor="_heading=h.1baon6m">
            <w:r>
              <w:rPr>
                <w:rFonts w:ascii="Calibri" w:eastAsia="Calibri" w:hAnsi="Calibri" w:cs="Calibri"/>
                <w:color w:val="000000"/>
                <w:sz w:val="22"/>
                <w:szCs w:val="22"/>
              </w:rPr>
              <w:tab/>
            </w:r>
          </w:hyperlink>
          <w:r>
            <w:fldChar w:fldCharType="begin"/>
          </w:r>
          <w:r>
            <w:instrText xml:space="preserve"> PAGEREF _heading=h.1baon6m \h </w:instrText>
          </w:r>
          <w:r>
            <w:fldChar w:fldCharType="separate"/>
          </w:r>
          <w:r>
            <w:rPr>
              <w:color w:val="000000"/>
            </w:rPr>
            <w:t>DEL AMPARO DE CALIDAD DEL SERVICIO EN LA GARANTÍA ÚNICA DE CUMPLIMIENTO</w:t>
          </w:r>
          <w:r>
            <w:rPr>
              <w:color w:val="000000"/>
            </w:rPr>
            <w:tab/>
            <w:t>57</w:t>
          </w:r>
          <w:r>
            <w:fldChar w:fldCharType="end"/>
          </w:r>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2afmg28">
            <w:r>
              <w:rPr>
                <w:color w:val="000000"/>
              </w:rPr>
              <w:t>CAPÍTULO IX.</w:t>
            </w:r>
          </w:hyperlink>
          <w:hyperlink w:anchor="_heading=h.2afmg28">
            <w:r>
              <w:rPr>
                <w:rFonts w:ascii="Calibri" w:eastAsia="Calibri" w:hAnsi="Calibri" w:cs="Calibri"/>
                <w:color w:val="000000"/>
                <w:sz w:val="22"/>
                <w:szCs w:val="22"/>
              </w:rPr>
              <w:tab/>
            </w:r>
          </w:hyperlink>
          <w:r>
            <w:fldChar w:fldCharType="begin"/>
          </w:r>
          <w:r>
            <w:instrText xml:space="preserve"> PAGEREF _heading=h.2afmg28 \h </w:instrText>
          </w:r>
          <w:r>
            <w:fldChar w:fldCharType="separate"/>
          </w:r>
          <w:r>
            <w:rPr>
              <w:color w:val="000000"/>
            </w:rPr>
            <w:t>MINUTA Y CONDICIONES DEL CONTRATO</w:t>
          </w:r>
          <w:r>
            <w:rPr>
              <w:color w:val="000000"/>
            </w:rPr>
            <w:tab/>
            <w:t>58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pkwqa1">
            <w:r>
              <w:rPr>
                <w:color w:val="000000"/>
              </w:rPr>
              <w:t>9.1.</w:t>
            </w:r>
          </w:hyperlink>
          <w:hyperlink w:anchor="_heading=h.pkwqa1">
            <w:r>
              <w:rPr>
                <w:rFonts w:ascii="Calibri" w:eastAsia="Calibri" w:hAnsi="Calibri" w:cs="Calibri"/>
                <w:color w:val="000000"/>
                <w:sz w:val="22"/>
                <w:szCs w:val="22"/>
              </w:rPr>
              <w:tab/>
            </w:r>
          </w:hyperlink>
          <w:r>
            <w:fldChar w:fldCharType="begin"/>
          </w:r>
          <w:r>
            <w:instrText xml:space="preserve"> PAGEREF _heading=h.pkwqa1 \h </w:instrText>
          </w:r>
          <w:r>
            <w:fldChar w:fldCharType="separate"/>
          </w:r>
          <w:r>
            <w:rPr>
              <w:color w:val="000000"/>
            </w:rPr>
            <w:t>INFORMACIÓN PARA EL CONTROL DE LA EJECUCIÓN DE LA CONSULTORÍA</w:t>
          </w:r>
          <w:r>
            <w:rPr>
              <w:color w:val="000000"/>
            </w:rPr>
            <w:tab/>
            <w:t>58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84mhaj">
            <w:r>
              <w:rPr>
                <w:color w:val="000000"/>
              </w:rPr>
              <w:t>9.2.</w:t>
            </w:r>
          </w:hyperlink>
          <w:hyperlink w:anchor="_heading=h.184mhaj">
            <w:r>
              <w:rPr>
                <w:rFonts w:ascii="Calibri" w:eastAsia="Calibri" w:hAnsi="Calibri" w:cs="Calibri"/>
                <w:color w:val="000000"/>
                <w:sz w:val="22"/>
                <w:szCs w:val="22"/>
              </w:rPr>
              <w:tab/>
            </w:r>
          </w:hyperlink>
          <w:r>
            <w:fldChar w:fldCharType="begin"/>
          </w:r>
          <w:r>
            <w:instrText xml:space="preserve"> PAGEREF _heading=h.184mhaj \h </w:instrText>
          </w:r>
          <w:r>
            <w:fldChar w:fldCharType="separate"/>
          </w:r>
          <w:r>
            <w:rPr>
              <w:color w:val="000000"/>
            </w:rPr>
            <w:t>ANTICIPO Y/O PAGO ANTICIPADO</w:t>
          </w:r>
          <w:r>
            <w:rPr>
              <w:color w:val="000000"/>
            </w:rPr>
            <w:tab/>
            <w:t>58</w:t>
          </w:r>
          <w:r>
            <w:fldChar w:fldCharType="end"/>
          </w:r>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39kk8xu">
            <w:r>
              <w:rPr>
                <w:color w:val="000000"/>
              </w:rPr>
              <w:t>CAPÍTULO X.</w:t>
            </w:r>
          </w:hyperlink>
          <w:hyperlink w:anchor="_heading=h.39kk8xu">
            <w:r>
              <w:rPr>
                <w:rFonts w:ascii="Calibri" w:eastAsia="Calibri" w:hAnsi="Calibri" w:cs="Calibri"/>
                <w:color w:val="000000"/>
                <w:sz w:val="22"/>
                <w:szCs w:val="22"/>
              </w:rPr>
              <w:tab/>
            </w:r>
          </w:hyperlink>
          <w:r>
            <w:fldChar w:fldCharType="begin"/>
          </w:r>
          <w:r>
            <w:instrText xml:space="preserve"> PAGEREF _heading=h.39kk8xu \h </w:instrText>
          </w:r>
          <w:r>
            <w:fldChar w:fldCharType="separate"/>
          </w:r>
          <w:r>
            <w:rPr>
              <w:color w:val="000000"/>
            </w:rPr>
            <w:t>CONDICIONES DE ACREDITACIÓN DE LA EXPERIENCIA DEL PROPONENTE, Y LA EXPERIENCIA Y FORMACIÓN ACADÉMICA DEL EQUIPO DE TRABAJO Y EL PERSONAL CLAVE EVALUABLE</w:t>
          </w:r>
          <w:r>
            <w:rPr>
              <w:color w:val="000000"/>
            </w:rPr>
            <w:tab/>
            <w:t>59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opuj5n">
            <w:r>
              <w:rPr>
                <w:color w:val="000000"/>
              </w:rPr>
              <w:t>10.1.</w:t>
            </w:r>
          </w:hyperlink>
          <w:hyperlink w:anchor="_heading=h.1opuj5n">
            <w:r>
              <w:rPr>
                <w:rFonts w:ascii="Calibri" w:eastAsia="Calibri" w:hAnsi="Calibri" w:cs="Calibri"/>
                <w:color w:val="000000"/>
                <w:sz w:val="22"/>
                <w:szCs w:val="22"/>
              </w:rPr>
              <w:tab/>
            </w:r>
          </w:hyperlink>
          <w:r>
            <w:fldChar w:fldCharType="begin"/>
          </w:r>
          <w:r>
            <w:instrText xml:space="preserve"> PAGEREF _heading=h.1opuj5n \h </w:instrText>
          </w:r>
          <w:r>
            <w:fldChar w:fldCharType="separate"/>
          </w:r>
          <w:r>
            <w:rPr>
              <w:color w:val="000000"/>
            </w:rPr>
            <w:t>ACREDITACIÓN DE LA EXPERIENCIA DEL PROPONENTE</w:t>
          </w:r>
          <w:r>
            <w:rPr>
              <w:color w:val="000000"/>
            </w:rPr>
            <w:tab/>
            <w:t>59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8pi1tg">
            <w:r>
              <w:rPr>
                <w:color w:val="000000"/>
              </w:rPr>
              <w:t>10.1.1.</w:t>
            </w:r>
          </w:hyperlink>
          <w:hyperlink w:anchor="_heading=h.48pi1tg">
            <w:r>
              <w:rPr>
                <w:rFonts w:ascii="Calibri" w:eastAsia="Calibri" w:hAnsi="Calibri" w:cs="Calibri"/>
                <w:color w:val="000000"/>
                <w:sz w:val="22"/>
                <w:szCs w:val="22"/>
              </w:rPr>
              <w:tab/>
            </w:r>
          </w:hyperlink>
          <w:r>
            <w:fldChar w:fldCharType="begin"/>
          </w:r>
          <w:r>
            <w:instrText xml:space="preserve"> PAGEREF _heading=h.48pi1tg \h </w:instrText>
          </w:r>
          <w:r>
            <w:fldChar w:fldCharType="separate"/>
          </w:r>
          <w:r>
            <w:rPr>
              <w:color w:val="000000"/>
            </w:rPr>
            <w:t>CARACTERÍSTICAS DE LOS CONTRATOS PRESENTADOS PARA ACREDITAR LA EXPERIENCIA DEL PROPONENTE</w:t>
          </w:r>
          <w:r>
            <w:rPr>
              <w:color w:val="000000"/>
            </w:rPr>
            <w:tab/>
            <w:t>60</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nusc19">
            <w:r>
              <w:rPr>
                <w:color w:val="000000"/>
              </w:rPr>
              <w:t>10.1.2.</w:t>
            </w:r>
          </w:hyperlink>
          <w:hyperlink w:anchor="_heading=h.2nusc19">
            <w:r>
              <w:rPr>
                <w:rFonts w:ascii="Calibri" w:eastAsia="Calibri" w:hAnsi="Calibri" w:cs="Calibri"/>
                <w:color w:val="000000"/>
                <w:sz w:val="22"/>
                <w:szCs w:val="22"/>
              </w:rPr>
              <w:tab/>
            </w:r>
          </w:hyperlink>
          <w:r>
            <w:fldChar w:fldCharType="begin"/>
          </w:r>
          <w:r>
            <w:instrText xml:space="preserve"> PAGEREF _heading=h.2nusc19 \h </w:instrText>
          </w:r>
          <w:r>
            <w:fldChar w:fldCharType="separate"/>
          </w:r>
          <w:r>
            <w:rPr>
              <w:color w:val="000000"/>
            </w:rPr>
            <w:t>CONSIDERACIONES PARA LA VALIDEZ DE LA EXPERIENCIA DEL PROPONENTE</w:t>
          </w:r>
          <w:r>
            <w:rPr>
              <w:color w:val="000000"/>
            </w:rPr>
            <w:tab/>
            <w:t>65</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302m92">
            <w:r>
              <w:rPr>
                <w:color w:val="000000"/>
              </w:rPr>
              <w:t>10.1.3.</w:t>
            </w:r>
          </w:hyperlink>
          <w:hyperlink w:anchor="_heading=h.1302m92">
            <w:r>
              <w:rPr>
                <w:rFonts w:ascii="Calibri" w:eastAsia="Calibri" w:hAnsi="Calibri" w:cs="Calibri"/>
                <w:color w:val="000000"/>
                <w:sz w:val="22"/>
                <w:szCs w:val="22"/>
              </w:rPr>
              <w:tab/>
            </w:r>
          </w:hyperlink>
          <w:r>
            <w:fldChar w:fldCharType="begin"/>
          </w:r>
          <w:r>
            <w:instrText xml:space="preserve"> PAGEREF _heading=h.1302m92 \h </w:instrText>
          </w:r>
          <w:r>
            <w:fldChar w:fldCharType="separate"/>
          </w:r>
          <w:r>
            <w:rPr>
              <w:color w:val="000000"/>
            </w:rPr>
            <w:t>CLASIFICACIÓN DE LA EXPERIENCIA EN EL “CLASIFICADOR DE BIENES, OBRAS Y SERVICIOS DE LAS NACIONES UNIDAS”</w:t>
          </w:r>
          <w:r>
            <w:rPr>
              <w:color w:val="000000"/>
            </w:rPr>
            <w:tab/>
            <w:t>68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mzq4wv">
            <w:r>
              <w:rPr>
                <w:color w:val="000000"/>
              </w:rPr>
              <w:t>10.1.4.</w:t>
            </w:r>
          </w:hyperlink>
          <w:hyperlink w:anchor="_heading=h.3mzq4wv">
            <w:r>
              <w:rPr>
                <w:rFonts w:ascii="Calibri" w:eastAsia="Calibri" w:hAnsi="Calibri" w:cs="Calibri"/>
                <w:color w:val="000000"/>
                <w:sz w:val="22"/>
                <w:szCs w:val="22"/>
              </w:rPr>
              <w:tab/>
            </w:r>
          </w:hyperlink>
          <w:r>
            <w:fldChar w:fldCharType="begin"/>
          </w:r>
          <w:r>
            <w:instrText xml:space="preserve"> PAGEREF _heading=h.3mzq4wv \h </w:instrText>
          </w:r>
          <w:r>
            <w:fldChar w:fldCharType="separate"/>
          </w:r>
          <w:r>
            <w:rPr>
              <w:color w:val="000000"/>
            </w:rPr>
            <w:t>ACREDITACIÓN DE LA EXPERIENCIA REQUERIDA</w:t>
          </w:r>
          <w:r>
            <w:rPr>
              <w:color w:val="000000"/>
            </w:rPr>
            <w:tab/>
            <w:t>68</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250f4o">
            <w:r>
              <w:rPr>
                <w:color w:val="000000"/>
              </w:rPr>
              <w:t>10.1.5.</w:t>
            </w:r>
          </w:hyperlink>
          <w:hyperlink w:anchor="_heading=h.2250f4o">
            <w:r>
              <w:rPr>
                <w:rFonts w:ascii="Calibri" w:eastAsia="Calibri" w:hAnsi="Calibri" w:cs="Calibri"/>
                <w:color w:val="000000"/>
                <w:sz w:val="22"/>
                <w:szCs w:val="22"/>
              </w:rPr>
              <w:tab/>
            </w:r>
          </w:hyperlink>
          <w:r>
            <w:fldChar w:fldCharType="begin"/>
          </w:r>
          <w:r>
            <w:instrText xml:space="preserve"> PAGEREF _heading=h.2250f4o \h </w:instrText>
          </w:r>
          <w:r>
            <w:fldChar w:fldCharType="separate"/>
          </w:r>
          <w:r>
            <w:rPr>
              <w:color w:val="000000"/>
            </w:rPr>
            <w:t>DOCUMENTOS VÁLIDOS PARA LA ACREDITACIÓN DE LA EXPERIENCIA REQUERIDA</w:t>
          </w:r>
          <w:r>
            <w:rPr>
              <w:color w:val="000000"/>
            </w:rPr>
            <w:tab/>
            <w:t>69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haapch">
            <w:r>
              <w:rPr>
                <w:color w:val="000000"/>
              </w:rPr>
              <w:t>10.1.6.</w:t>
            </w:r>
          </w:hyperlink>
          <w:hyperlink w:anchor="_heading=h.haapch">
            <w:r>
              <w:rPr>
                <w:rFonts w:ascii="Calibri" w:eastAsia="Calibri" w:hAnsi="Calibri" w:cs="Calibri"/>
                <w:color w:val="000000"/>
                <w:sz w:val="22"/>
                <w:szCs w:val="22"/>
              </w:rPr>
              <w:tab/>
            </w:r>
          </w:hyperlink>
          <w:r>
            <w:fldChar w:fldCharType="begin"/>
          </w:r>
          <w:r>
            <w:instrText xml:space="preserve"> PAGEREF _heading=h.haapch \h </w:instrText>
          </w:r>
          <w:r>
            <w:fldChar w:fldCharType="separate"/>
          </w:r>
          <w:r>
            <w:rPr>
              <w:color w:val="000000"/>
            </w:rPr>
            <w:t>PARA SUBCONTRATOS</w:t>
          </w:r>
          <w:r>
            <w:rPr>
              <w:color w:val="000000"/>
            </w:rPr>
            <w:tab/>
            <w:t>69</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19y80a">
            <w:r>
              <w:rPr>
                <w:color w:val="000000"/>
              </w:rPr>
              <w:t>10.2.</w:t>
            </w:r>
          </w:hyperlink>
          <w:hyperlink w:anchor="_heading=h.319y80a">
            <w:r>
              <w:rPr>
                <w:rFonts w:ascii="Calibri" w:eastAsia="Calibri" w:hAnsi="Calibri" w:cs="Calibri"/>
                <w:color w:val="000000"/>
                <w:sz w:val="22"/>
                <w:szCs w:val="22"/>
              </w:rPr>
              <w:tab/>
            </w:r>
          </w:hyperlink>
          <w:r>
            <w:fldChar w:fldCharType="begin"/>
          </w:r>
          <w:r>
            <w:instrText xml:space="preserve"> PAGEREF _heading=h.319y80a \h </w:instrText>
          </w:r>
          <w:r>
            <w:fldChar w:fldCharType="separate"/>
          </w:r>
          <w:r>
            <w:rPr>
              <w:color w:val="000000"/>
            </w:rPr>
            <w:t>ACREDITACIÓN DE EXPERIENCIA Y FORMACIÓN ACADÉMICA DEL EQUIPO DE TRABAJO Y DEL PERSONAL CLAVE EVALUABLE</w:t>
          </w:r>
          <w:r>
            <w:rPr>
              <w:color w:val="000000"/>
            </w:rPr>
            <w:tab/>
            <w:t>70</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gf8i83">
            <w:r>
              <w:rPr>
                <w:color w:val="000000"/>
              </w:rPr>
              <w:t>10.2.1.</w:t>
            </w:r>
          </w:hyperlink>
          <w:hyperlink w:anchor="_heading=h.1gf8i83">
            <w:r>
              <w:rPr>
                <w:rFonts w:ascii="Calibri" w:eastAsia="Calibri" w:hAnsi="Calibri" w:cs="Calibri"/>
                <w:color w:val="000000"/>
                <w:sz w:val="22"/>
                <w:szCs w:val="22"/>
              </w:rPr>
              <w:tab/>
            </w:r>
          </w:hyperlink>
          <w:r>
            <w:fldChar w:fldCharType="begin"/>
          </w:r>
          <w:r>
            <w:instrText xml:space="preserve"> PAGEREF _heading=h.1gf8i83 \h </w:instrText>
          </w:r>
          <w:r>
            <w:fldChar w:fldCharType="separate"/>
          </w:r>
          <w:r>
            <w:rPr>
              <w:color w:val="000000"/>
            </w:rPr>
            <w:t>DISPOSICIONES GENERALES PARA LA VALIDEZ DE LA EXPERIENCIA DEL EQU</w:t>
          </w:r>
          <w:r>
            <w:rPr>
              <w:color w:val="000000"/>
            </w:rPr>
            <w:t>IPO DE TRABAJO Y DEL PERSONAL CLAVE EVALUABLE</w:t>
          </w:r>
          <w:r>
            <w:rPr>
              <w:color w:val="000000"/>
            </w:rPr>
            <w:tab/>
            <w:t>71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0ew0vw">
            <w:r>
              <w:rPr>
                <w:color w:val="000000"/>
              </w:rPr>
              <w:t>10.2.2.</w:t>
            </w:r>
          </w:hyperlink>
          <w:hyperlink w:anchor="_heading=h.40ew0vw">
            <w:r>
              <w:rPr>
                <w:rFonts w:ascii="Calibri" w:eastAsia="Calibri" w:hAnsi="Calibri" w:cs="Calibri"/>
                <w:color w:val="000000"/>
                <w:sz w:val="22"/>
                <w:szCs w:val="22"/>
              </w:rPr>
              <w:tab/>
            </w:r>
          </w:hyperlink>
          <w:r>
            <w:fldChar w:fldCharType="begin"/>
          </w:r>
          <w:r>
            <w:instrText xml:space="preserve"> PAGEREF _heading=h.40ew0vw \h </w:instrText>
          </w:r>
          <w:r>
            <w:fldChar w:fldCharType="separate"/>
          </w:r>
          <w:r>
            <w:rPr>
              <w:color w:val="000000"/>
            </w:rPr>
            <w:t>DOCUMENTOS SO</w:t>
          </w:r>
          <w:r>
            <w:rPr>
              <w:color w:val="000000"/>
            </w:rPr>
            <w:t>PORTE VÁLIDOS PARA ACREDITAR LA EXPERIENCIA DEL EQUIPO DE TRABAJO Y EL PERSONAL CLAVE EVALUABLE</w:t>
          </w:r>
          <w:r>
            <w:rPr>
              <w:color w:val="000000"/>
            </w:rPr>
            <w:tab/>
            <w:t>71</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fk6b3p">
            <w:r>
              <w:rPr>
                <w:color w:val="000000"/>
              </w:rPr>
              <w:t>10.2.3.</w:t>
            </w:r>
          </w:hyperlink>
          <w:hyperlink w:anchor="_heading=h.2fk6b3p">
            <w:r>
              <w:rPr>
                <w:rFonts w:ascii="Calibri" w:eastAsia="Calibri" w:hAnsi="Calibri" w:cs="Calibri"/>
                <w:color w:val="000000"/>
                <w:sz w:val="22"/>
                <w:szCs w:val="22"/>
              </w:rPr>
              <w:tab/>
            </w:r>
          </w:hyperlink>
          <w:r>
            <w:fldChar w:fldCharType="begin"/>
          </w:r>
          <w:r>
            <w:instrText xml:space="preserve"> PAGEREF _heading=h.2fk6b3p \h </w:instrText>
          </w:r>
          <w:r>
            <w:fldChar w:fldCharType="separate"/>
          </w:r>
          <w:r>
            <w:rPr>
              <w:color w:val="000000"/>
            </w:rPr>
            <w:t>ACREDITACIÓN DE LA FORMACIÓN ACADÉMICA DEL EQUIPO DE TRABAJO Y EL PERSONAL CLAVE EVALUABLE</w:t>
          </w:r>
          <w:r>
            <w:rPr>
              <w:color w:val="000000"/>
            </w:rPr>
            <w:tab/>
            <w:t>72</w:t>
          </w:r>
          <w:r>
            <w:fldChar w:fldCharType="end"/>
          </w:r>
        </w:p>
        <w:p w:rsidR="00522688" w:rsidRDefault="004E4FBB">
          <w:pPr>
            <w:pBdr>
              <w:top w:val="nil"/>
              <w:left w:val="nil"/>
              <w:bottom w:val="nil"/>
              <w:right w:val="nil"/>
              <w:between w:val="nil"/>
            </w:pBdr>
            <w:tabs>
              <w:tab w:val="right" w:pos="8919"/>
              <w:tab w:val="left" w:pos="1540"/>
            </w:tabs>
            <w:rPr>
              <w:rFonts w:ascii="Calibri" w:eastAsia="Calibri" w:hAnsi="Calibri" w:cs="Calibri"/>
              <w:color w:val="000000"/>
              <w:sz w:val="22"/>
              <w:szCs w:val="22"/>
            </w:rPr>
          </w:pPr>
          <w:hyperlink w:anchor="_heading=h.upglbi">
            <w:r>
              <w:rPr>
                <w:color w:val="000000"/>
              </w:rPr>
              <w:t>CAPÍTULO XI.</w:t>
            </w:r>
          </w:hyperlink>
          <w:hyperlink w:anchor="_heading=h.upglbi">
            <w:r>
              <w:rPr>
                <w:rFonts w:ascii="Calibri" w:eastAsia="Calibri" w:hAnsi="Calibri" w:cs="Calibri"/>
                <w:color w:val="000000"/>
                <w:sz w:val="22"/>
                <w:szCs w:val="22"/>
              </w:rPr>
              <w:tab/>
            </w:r>
          </w:hyperlink>
          <w:r>
            <w:fldChar w:fldCharType="begin"/>
          </w:r>
          <w:r>
            <w:instrText xml:space="preserve"> PAGEREF _heading=h.upglbi \h </w:instrText>
          </w:r>
          <w:r>
            <w:fldChar w:fldCharType="separate"/>
          </w:r>
          <w:r>
            <w:rPr>
              <w:color w:val="000000"/>
            </w:rPr>
            <w:t>LISTADO DE ANEXOS, FORMATOS, MATRICES Y FORMULARIOS</w:t>
          </w:r>
          <w:r>
            <w:rPr>
              <w:color w:val="000000"/>
            </w:rPr>
            <w:tab/>
            <w:t>73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3ep43zb">
            <w:r>
              <w:rPr>
                <w:color w:val="000000"/>
              </w:rPr>
              <w:t>11.1.</w:t>
            </w:r>
          </w:hyperlink>
          <w:hyperlink w:anchor="_heading=h.3ep43zb">
            <w:r>
              <w:rPr>
                <w:rFonts w:ascii="Calibri" w:eastAsia="Calibri" w:hAnsi="Calibri" w:cs="Calibri"/>
                <w:color w:val="000000"/>
                <w:sz w:val="22"/>
                <w:szCs w:val="22"/>
              </w:rPr>
              <w:tab/>
            </w:r>
          </w:hyperlink>
          <w:r>
            <w:fldChar w:fldCharType="begin"/>
          </w:r>
          <w:r>
            <w:instrText xml:space="preserve"> PAGEREF _heading=h.3ep43zb \h </w:instrText>
          </w:r>
          <w:r>
            <w:fldChar w:fldCharType="separate"/>
          </w:r>
          <w:r>
            <w:rPr>
              <w:color w:val="000000"/>
            </w:rPr>
            <w:t>ANEXOS</w:t>
          </w:r>
          <w:r>
            <w:rPr>
              <w:color w:val="000000"/>
            </w:rPr>
            <w:tab/>
            <w:t>73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1tuee74">
            <w:r>
              <w:rPr>
                <w:color w:val="000000"/>
              </w:rPr>
              <w:t>11.2.</w:t>
            </w:r>
          </w:hyperlink>
          <w:hyperlink w:anchor="_heading=h.1tuee74">
            <w:r>
              <w:rPr>
                <w:rFonts w:ascii="Calibri" w:eastAsia="Calibri" w:hAnsi="Calibri" w:cs="Calibri"/>
                <w:color w:val="000000"/>
                <w:sz w:val="22"/>
                <w:szCs w:val="22"/>
              </w:rPr>
              <w:tab/>
            </w:r>
          </w:hyperlink>
          <w:r>
            <w:fldChar w:fldCharType="begin"/>
          </w:r>
          <w:r>
            <w:instrText xml:space="preserve"> PAGEREF _heading=h.1tuee74 \h </w:instrText>
          </w:r>
          <w:r>
            <w:fldChar w:fldCharType="separate"/>
          </w:r>
          <w:r>
            <w:rPr>
              <w:color w:val="000000"/>
            </w:rPr>
            <w:t>FORMATOS</w:t>
          </w:r>
          <w:r>
            <w:rPr>
              <w:color w:val="000000"/>
            </w:rPr>
            <w:tab/>
            <w:t>73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4du1wux">
            <w:r>
              <w:rPr>
                <w:color w:val="000000"/>
              </w:rPr>
              <w:t>11.3.</w:t>
            </w:r>
          </w:hyperlink>
          <w:hyperlink w:anchor="_heading=h.4du1wux">
            <w:r>
              <w:rPr>
                <w:rFonts w:ascii="Calibri" w:eastAsia="Calibri" w:hAnsi="Calibri" w:cs="Calibri"/>
                <w:color w:val="000000"/>
                <w:sz w:val="22"/>
                <w:szCs w:val="22"/>
              </w:rPr>
              <w:tab/>
            </w:r>
          </w:hyperlink>
          <w:r>
            <w:fldChar w:fldCharType="begin"/>
          </w:r>
          <w:r>
            <w:instrText xml:space="preserve"> PAGEREF _heading=h.4du1wux \h </w:instrText>
          </w:r>
          <w:r>
            <w:fldChar w:fldCharType="separate"/>
          </w:r>
          <w:r>
            <w:rPr>
              <w:color w:val="000000"/>
            </w:rPr>
            <w:t>MATRICES</w:t>
          </w:r>
          <w:r>
            <w:rPr>
              <w:color w:val="000000"/>
            </w:rPr>
            <w:tab/>
            <w:t>73</w:t>
          </w:r>
          <w:r>
            <w:fldChar w:fldCharType="end"/>
          </w:r>
        </w:p>
        <w:p w:rsidR="00522688" w:rsidRDefault="004E4FBB">
          <w:pPr>
            <w:pBdr>
              <w:top w:val="nil"/>
              <w:left w:val="nil"/>
              <w:bottom w:val="nil"/>
              <w:right w:val="nil"/>
              <w:between w:val="nil"/>
            </w:pBdr>
            <w:tabs>
              <w:tab w:val="left" w:pos="880"/>
              <w:tab w:val="right" w:pos="8919"/>
            </w:tabs>
            <w:rPr>
              <w:rFonts w:ascii="Calibri" w:eastAsia="Calibri" w:hAnsi="Calibri" w:cs="Calibri"/>
              <w:color w:val="000000"/>
              <w:sz w:val="22"/>
              <w:szCs w:val="22"/>
            </w:rPr>
          </w:pPr>
          <w:hyperlink w:anchor="_heading=h.2szc72q">
            <w:r>
              <w:rPr>
                <w:color w:val="000000"/>
              </w:rPr>
              <w:t>11.4.</w:t>
            </w:r>
          </w:hyperlink>
          <w:hyperlink w:anchor="_heading=h.2szc72q">
            <w:r>
              <w:rPr>
                <w:rFonts w:ascii="Calibri" w:eastAsia="Calibri" w:hAnsi="Calibri" w:cs="Calibri"/>
                <w:color w:val="000000"/>
                <w:sz w:val="22"/>
                <w:szCs w:val="22"/>
              </w:rPr>
              <w:tab/>
            </w:r>
          </w:hyperlink>
          <w:r>
            <w:fldChar w:fldCharType="begin"/>
          </w:r>
          <w:r>
            <w:instrText xml:space="preserve"> PAGEREF _heading=h.2szc72q \h </w:instrText>
          </w:r>
          <w:r>
            <w:fldChar w:fldCharType="separate"/>
          </w:r>
          <w:r>
            <w:rPr>
              <w:color w:val="000000"/>
            </w:rPr>
            <w:t>FORMULARIOS</w:t>
          </w:r>
          <w:r>
            <w:rPr>
              <w:color w:val="000000"/>
            </w:rPr>
            <w:tab/>
            <w:t>73</w:t>
          </w:r>
          <w:r>
            <w:fldChar w:fldCharType="end"/>
          </w:r>
        </w:p>
        <w:p w:rsidR="00522688" w:rsidRDefault="004E4FBB">
          <w:r>
            <w:fldChar w:fldCharType="end"/>
          </w:r>
        </w:p>
      </w:sdtContent>
    </w:sdt>
    <w:p w:rsidR="00522688" w:rsidRDefault="00522688"/>
    <w:p w:rsidR="00522688" w:rsidRDefault="00522688"/>
    <w:p w:rsidR="00522688" w:rsidRDefault="004E4FBB">
      <w:pPr>
        <w:spacing w:after="160" w:line="259" w:lineRule="auto"/>
        <w:jc w:val="left"/>
      </w:pPr>
      <w:r>
        <w:br w:type="page"/>
      </w:r>
    </w:p>
    <w:p w:rsidR="00522688" w:rsidRDefault="00522688"/>
    <w:p w:rsidR="00522688" w:rsidRDefault="00522688">
      <w:pPr>
        <w:rPr>
          <w:b/>
        </w:rPr>
      </w:pPr>
    </w:p>
    <w:p w:rsidR="00522688" w:rsidRDefault="00522688">
      <w:pPr>
        <w:jc w:val="center"/>
        <w:rPr>
          <w:b/>
        </w:rPr>
      </w:pPr>
    </w:p>
    <w:p w:rsidR="00522688" w:rsidRDefault="004E4FBB">
      <w:pPr>
        <w:pStyle w:val="Ttulo1"/>
        <w:numPr>
          <w:ilvl w:val="0"/>
          <w:numId w:val="14"/>
        </w:numPr>
        <w:ind w:left="1531" w:firstLine="0"/>
      </w:pPr>
      <w:bookmarkStart w:id="2" w:name="_heading=h.30j0zll" w:colFirst="0" w:colLast="0"/>
      <w:bookmarkEnd w:id="2"/>
      <w:r>
        <w:t>INFORMACIÓN GENERAL</w:t>
      </w:r>
    </w:p>
    <w:p w:rsidR="00522688" w:rsidRDefault="00522688">
      <w:pPr>
        <w:numPr>
          <w:ilvl w:val="0"/>
          <w:numId w:val="15"/>
        </w:numPr>
        <w:pBdr>
          <w:top w:val="nil"/>
          <w:left w:val="nil"/>
          <w:bottom w:val="nil"/>
          <w:right w:val="nil"/>
          <w:between w:val="nil"/>
        </w:pBdr>
        <w:rPr>
          <w:color w:val="000000"/>
        </w:rPr>
      </w:pPr>
    </w:p>
    <w:p w:rsidR="00522688" w:rsidRDefault="004E4FBB">
      <w:pPr>
        <w:pStyle w:val="Ttulo2"/>
        <w:numPr>
          <w:ilvl w:val="1"/>
          <w:numId w:val="15"/>
        </w:numPr>
      </w:pPr>
      <w:bookmarkStart w:id="3" w:name="_heading=h.1fob9te" w:colFirst="0" w:colLast="0"/>
      <w:bookmarkEnd w:id="3"/>
      <w:r>
        <w:t>OBJETO, PRESUPUESTO OFICIAL, PLAZO Y UBICACIÓN</w:t>
      </w:r>
    </w:p>
    <w:p w:rsidR="00522688" w:rsidRDefault="00522688"/>
    <w:p w:rsidR="00522688" w:rsidRDefault="004E4FBB">
      <w:r>
        <w:t>El objeto, Presupuesto Oficial, plazo y ubicación del proyecto objeto del Proceso de Contratación se identifican en la siguiente tabla:</w:t>
      </w:r>
    </w:p>
    <w:p w:rsidR="00522688" w:rsidRDefault="00522688"/>
    <w:tbl>
      <w:tblPr>
        <w:tblStyle w:val="a"/>
        <w:tblW w:w="89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1"/>
        <w:gridCol w:w="1321"/>
        <w:gridCol w:w="2397"/>
        <w:gridCol w:w="2110"/>
      </w:tblGrid>
      <w:tr w:rsidR="00522688">
        <w:trPr>
          <w:trHeight w:val="737"/>
        </w:trPr>
        <w:tc>
          <w:tcPr>
            <w:tcW w:w="3091" w:type="dxa"/>
            <w:shd w:val="clear" w:color="auto" w:fill="3B3838"/>
            <w:vAlign w:val="center"/>
          </w:tcPr>
          <w:p w:rsidR="00522688" w:rsidRDefault="004E4FBB">
            <w:pPr>
              <w:jc w:val="center"/>
              <w:rPr>
                <w:b/>
                <w:sz w:val="18"/>
                <w:szCs w:val="18"/>
              </w:rPr>
            </w:pPr>
            <w:r>
              <w:rPr>
                <w:b/>
                <w:sz w:val="18"/>
                <w:szCs w:val="18"/>
              </w:rPr>
              <w:t>Objeto del proyecto</w:t>
            </w:r>
          </w:p>
        </w:tc>
        <w:tc>
          <w:tcPr>
            <w:tcW w:w="1321" w:type="dxa"/>
            <w:shd w:val="clear" w:color="auto" w:fill="3B3838"/>
            <w:vAlign w:val="center"/>
          </w:tcPr>
          <w:p w:rsidR="00522688" w:rsidRDefault="004E4FBB">
            <w:pPr>
              <w:jc w:val="center"/>
              <w:rPr>
                <w:b/>
                <w:sz w:val="18"/>
                <w:szCs w:val="18"/>
              </w:rPr>
            </w:pPr>
            <w:r>
              <w:rPr>
                <w:b/>
                <w:sz w:val="18"/>
                <w:szCs w:val="18"/>
              </w:rPr>
              <w:t>Plazo del contrato (meses)</w:t>
            </w:r>
          </w:p>
        </w:tc>
        <w:tc>
          <w:tcPr>
            <w:tcW w:w="2397" w:type="dxa"/>
            <w:shd w:val="clear" w:color="auto" w:fill="3B3838"/>
            <w:vAlign w:val="center"/>
          </w:tcPr>
          <w:p w:rsidR="00522688" w:rsidRDefault="004E4FBB">
            <w:pPr>
              <w:jc w:val="center"/>
              <w:rPr>
                <w:b/>
                <w:sz w:val="18"/>
                <w:szCs w:val="18"/>
              </w:rPr>
            </w:pPr>
            <w:r>
              <w:rPr>
                <w:b/>
                <w:sz w:val="18"/>
                <w:szCs w:val="18"/>
              </w:rPr>
              <w:t>Valor Presupuesto Oficial (pesos incluido IVA)</w:t>
            </w:r>
          </w:p>
        </w:tc>
        <w:tc>
          <w:tcPr>
            <w:tcW w:w="2110" w:type="dxa"/>
            <w:shd w:val="clear" w:color="auto" w:fill="3B3838"/>
            <w:vAlign w:val="center"/>
          </w:tcPr>
          <w:p w:rsidR="00522688" w:rsidRDefault="004E4FBB">
            <w:pPr>
              <w:jc w:val="center"/>
              <w:rPr>
                <w:b/>
                <w:sz w:val="18"/>
                <w:szCs w:val="18"/>
              </w:rPr>
            </w:pPr>
            <w:r>
              <w:rPr>
                <w:b/>
                <w:sz w:val="18"/>
                <w:szCs w:val="18"/>
              </w:rPr>
              <w:t>Lugar(es) de ejecución de</w:t>
            </w:r>
            <w:r>
              <w:rPr>
                <w:b/>
                <w:sz w:val="18"/>
                <w:szCs w:val="18"/>
              </w:rPr>
              <w:t>l contrato</w:t>
            </w:r>
          </w:p>
        </w:tc>
      </w:tr>
      <w:tr w:rsidR="00522688">
        <w:trPr>
          <w:trHeight w:val="964"/>
        </w:trPr>
        <w:tc>
          <w:tcPr>
            <w:tcW w:w="3091" w:type="dxa"/>
            <w:vAlign w:val="center"/>
          </w:tcPr>
          <w:p w:rsidR="00522688" w:rsidRDefault="004E4FBB">
            <w:pPr>
              <w:ind w:left="57" w:right="57"/>
              <w:jc w:val="center"/>
              <w:rPr>
                <w:sz w:val="18"/>
                <w:szCs w:val="18"/>
                <w:highlight w:val="lightGray"/>
              </w:rPr>
            </w:pPr>
            <w:r>
              <w:rPr>
                <w:sz w:val="18"/>
                <w:szCs w:val="18"/>
                <w:highlight w:val="lightGray"/>
              </w:rPr>
              <w:t>[Incluir objeto del proyecto de manera clara y precisa]</w:t>
            </w:r>
          </w:p>
        </w:tc>
        <w:tc>
          <w:tcPr>
            <w:tcW w:w="1321" w:type="dxa"/>
            <w:vAlign w:val="center"/>
          </w:tcPr>
          <w:p w:rsidR="00522688" w:rsidRDefault="004E4FBB">
            <w:pPr>
              <w:ind w:left="57" w:right="57"/>
              <w:jc w:val="center"/>
              <w:rPr>
                <w:sz w:val="18"/>
                <w:szCs w:val="18"/>
                <w:highlight w:val="lightGray"/>
              </w:rPr>
            </w:pPr>
            <w:r>
              <w:rPr>
                <w:sz w:val="18"/>
                <w:szCs w:val="18"/>
                <w:highlight w:val="lightGray"/>
              </w:rPr>
              <w:t>[Incluir plazo en meses]</w:t>
            </w:r>
          </w:p>
          <w:p w:rsidR="00522688" w:rsidRDefault="00522688">
            <w:pPr>
              <w:ind w:left="57" w:right="57"/>
              <w:jc w:val="center"/>
              <w:rPr>
                <w:sz w:val="18"/>
                <w:szCs w:val="18"/>
                <w:highlight w:val="lightGray"/>
              </w:rPr>
            </w:pPr>
          </w:p>
          <w:p w:rsidR="00522688" w:rsidRDefault="004E4FBB">
            <w:pPr>
              <w:ind w:left="57" w:right="57"/>
              <w:rPr>
                <w:sz w:val="18"/>
                <w:szCs w:val="18"/>
                <w:highlight w:val="lightGray"/>
              </w:rPr>
            </w:pPr>
            <w:r>
              <w:rPr>
                <w:b/>
                <w:color w:val="000000"/>
                <w:sz w:val="18"/>
                <w:szCs w:val="18"/>
                <w:highlight w:val="yellow"/>
              </w:rPr>
              <w:t>Nota:</w:t>
            </w:r>
            <w:r>
              <w:rPr>
                <w:color w:val="000000"/>
                <w:sz w:val="18"/>
                <w:szCs w:val="18"/>
                <w:highlight w:val="yellow"/>
              </w:rPr>
              <w:t xml:space="preserve"> De conformidad con el numeral 3.3 del estudio previo</w:t>
            </w:r>
          </w:p>
        </w:tc>
        <w:tc>
          <w:tcPr>
            <w:tcW w:w="2397" w:type="dxa"/>
            <w:vAlign w:val="center"/>
          </w:tcPr>
          <w:p w:rsidR="00522688" w:rsidRDefault="004E4FBB">
            <w:pPr>
              <w:ind w:left="57" w:right="57"/>
              <w:jc w:val="center"/>
              <w:rPr>
                <w:sz w:val="18"/>
                <w:szCs w:val="18"/>
                <w:highlight w:val="lightGray"/>
              </w:rPr>
            </w:pPr>
            <w:r>
              <w:rPr>
                <w:sz w:val="18"/>
                <w:szCs w:val="18"/>
                <w:highlight w:val="lightGray"/>
              </w:rPr>
              <w:t>[Incluir presupuesto oficial]</w:t>
            </w:r>
          </w:p>
          <w:p w:rsidR="00522688" w:rsidRDefault="00522688">
            <w:pPr>
              <w:ind w:left="57" w:right="57"/>
              <w:jc w:val="center"/>
              <w:rPr>
                <w:sz w:val="18"/>
                <w:szCs w:val="18"/>
                <w:highlight w:val="lightGray"/>
              </w:rPr>
            </w:pPr>
          </w:p>
          <w:p w:rsidR="00522688" w:rsidRDefault="004E4FBB">
            <w:pPr>
              <w:ind w:right="57"/>
              <w:jc w:val="left"/>
              <w:rPr>
                <w:b/>
                <w:sz w:val="18"/>
                <w:szCs w:val="18"/>
                <w:highlight w:val="yellow"/>
              </w:rPr>
            </w:pPr>
            <w:r>
              <w:rPr>
                <w:b/>
                <w:color w:val="000000"/>
                <w:sz w:val="18"/>
                <w:szCs w:val="18"/>
                <w:highlight w:val="yellow"/>
              </w:rPr>
              <w:t>Nota:</w:t>
            </w:r>
            <w:r>
              <w:rPr>
                <w:color w:val="000000"/>
                <w:sz w:val="18"/>
                <w:szCs w:val="18"/>
                <w:highlight w:val="yellow"/>
              </w:rPr>
              <w:t xml:space="preserve"> De conformidad con el numeral 5.2 del estudio previo</w:t>
            </w:r>
          </w:p>
          <w:p w:rsidR="00522688" w:rsidRDefault="00522688">
            <w:pPr>
              <w:ind w:left="57" w:right="57"/>
              <w:jc w:val="center"/>
              <w:rPr>
                <w:sz w:val="18"/>
                <w:szCs w:val="18"/>
                <w:highlight w:val="lightGray"/>
              </w:rPr>
            </w:pPr>
          </w:p>
        </w:tc>
        <w:tc>
          <w:tcPr>
            <w:tcW w:w="2110" w:type="dxa"/>
            <w:vAlign w:val="center"/>
          </w:tcPr>
          <w:p w:rsidR="00522688" w:rsidRDefault="004E4FBB">
            <w:pPr>
              <w:ind w:left="57" w:right="57"/>
              <w:jc w:val="center"/>
              <w:rPr>
                <w:sz w:val="18"/>
                <w:szCs w:val="18"/>
                <w:highlight w:val="lightGray"/>
              </w:rPr>
            </w:pPr>
            <w:r>
              <w:rPr>
                <w:sz w:val="18"/>
                <w:szCs w:val="18"/>
                <w:highlight w:val="lightGray"/>
              </w:rPr>
              <w:t>[Incluir lugar o lugares de ejecución – aclarar si se ejecuta en zona rural o urbana]</w:t>
            </w:r>
          </w:p>
          <w:p w:rsidR="00522688" w:rsidRDefault="00522688">
            <w:pPr>
              <w:ind w:left="57" w:right="57"/>
              <w:jc w:val="center"/>
              <w:rPr>
                <w:sz w:val="18"/>
                <w:szCs w:val="18"/>
                <w:highlight w:val="lightGray"/>
              </w:rPr>
            </w:pPr>
          </w:p>
          <w:p w:rsidR="00522688" w:rsidRDefault="004E4FBB">
            <w:pPr>
              <w:ind w:right="57"/>
              <w:rPr>
                <w:sz w:val="18"/>
                <w:szCs w:val="18"/>
              </w:rPr>
            </w:pPr>
            <w:r>
              <w:rPr>
                <w:b/>
                <w:color w:val="000000"/>
                <w:sz w:val="18"/>
                <w:szCs w:val="18"/>
                <w:highlight w:val="yellow"/>
              </w:rPr>
              <w:t>Nota:</w:t>
            </w:r>
            <w:r>
              <w:rPr>
                <w:color w:val="000000"/>
                <w:sz w:val="18"/>
                <w:szCs w:val="18"/>
                <w:highlight w:val="yellow"/>
              </w:rPr>
              <w:t xml:space="preserve"> De conformidad con el numeral 3.5 del estudio previo</w:t>
            </w:r>
          </w:p>
          <w:p w:rsidR="00522688" w:rsidRDefault="00522688">
            <w:pPr>
              <w:ind w:left="57" w:right="57"/>
              <w:jc w:val="center"/>
              <w:rPr>
                <w:sz w:val="18"/>
                <w:szCs w:val="18"/>
                <w:highlight w:val="lightGray"/>
              </w:rPr>
            </w:pPr>
          </w:p>
        </w:tc>
      </w:tr>
    </w:tbl>
    <w:p w:rsidR="00522688" w:rsidRDefault="00522688"/>
    <w:p w:rsidR="00522688" w:rsidRDefault="004E4FBB">
      <w:pPr>
        <w:rPr>
          <w:highlight w:val="lightGray"/>
        </w:rPr>
      </w:pPr>
      <w:r>
        <w:rPr>
          <w:highlight w:val="lightGray"/>
        </w:rPr>
        <w:t>[La información establecida en esta tabla deberá ser igual a la que la Entidad publique en el SECOP]</w:t>
      </w:r>
    </w:p>
    <w:p w:rsidR="00522688" w:rsidRDefault="00522688">
      <w:pPr>
        <w:rPr>
          <w:highlight w:val="lightGray"/>
        </w:rPr>
      </w:pPr>
    </w:p>
    <w:p w:rsidR="00522688" w:rsidRDefault="004E4FBB">
      <w:r>
        <w:rPr>
          <w:highlight w:val="lightGray"/>
        </w:rPr>
        <w:t>[Cuando el proceso se estructure por lotes o grupos, la Entidad deberá incluir tantas filas como número de lotes o grupos a contratar y debe incorporar la siguiente tabla:]</w:t>
      </w:r>
    </w:p>
    <w:p w:rsidR="00522688" w:rsidRDefault="00522688"/>
    <w:tbl>
      <w:tblPr>
        <w:tblStyle w:val="a0"/>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
        <w:gridCol w:w="2332"/>
        <w:gridCol w:w="1321"/>
        <w:gridCol w:w="1946"/>
        <w:gridCol w:w="2209"/>
      </w:tblGrid>
      <w:tr w:rsidR="00522688">
        <w:trPr>
          <w:trHeight w:val="737"/>
        </w:trPr>
        <w:tc>
          <w:tcPr>
            <w:tcW w:w="1118" w:type="dxa"/>
            <w:shd w:val="clear" w:color="auto" w:fill="3B3838"/>
            <w:vAlign w:val="center"/>
          </w:tcPr>
          <w:p w:rsidR="00522688" w:rsidRDefault="004E4FBB">
            <w:pPr>
              <w:jc w:val="center"/>
              <w:rPr>
                <w:b/>
                <w:sz w:val="18"/>
                <w:szCs w:val="18"/>
              </w:rPr>
            </w:pPr>
            <w:r>
              <w:rPr>
                <w:b/>
                <w:sz w:val="18"/>
                <w:szCs w:val="18"/>
              </w:rPr>
              <w:t>Número de lote o grupo</w:t>
            </w:r>
          </w:p>
        </w:tc>
        <w:tc>
          <w:tcPr>
            <w:tcW w:w="2332" w:type="dxa"/>
            <w:shd w:val="clear" w:color="auto" w:fill="3B3838"/>
            <w:vAlign w:val="center"/>
          </w:tcPr>
          <w:p w:rsidR="00522688" w:rsidRDefault="004E4FBB">
            <w:pPr>
              <w:jc w:val="center"/>
              <w:rPr>
                <w:b/>
                <w:sz w:val="18"/>
                <w:szCs w:val="18"/>
              </w:rPr>
            </w:pPr>
            <w:r>
              <w:rPr>
                <w:b/>
                <w:sz w:val="18"/>
                <w:szCs w:val="18"/>
              </w:rPr>
              <w:t>Objeto del proyecto</w:t>
            </w:r>
          </w:p>
        </w:tc>
        <w:tc>
          <w:tcPr>
            <w:tcW w:w="1321" w:type="dxa"/>
            <w:shd w:val="clear" w:color="auto" w:fill="3B3838"/>
            <w:vAlign w:val="center"/>
          </w:tcPr>
          <w:p w:rsidR="00522688" w:rsidRDefault="004E4FBB">
            <w:pPr>
              <w:jc w:val="center"/>
              <w:rPr>
                <w:b/>
                <w:sz w:val="18"/>
                <w:szCs w:val="18"/>
              </w:rPr>
            </w:pPr>
            <w:r>
              <w:rPr>
                <w:b/>
                <w:sz w:val="18"/>
                <w:szCs w:val="18"/>
              </w:rPr>
              <w:t>Plazo del contrato (meses)</w:t>
            </w:r>
          </w:p>
        </w:tc>
        <w:tc>
          <w:tcPr>
            <w:tcW w:w="1946" w:type="dxa"/>
            <w:shd w:val="clear" w:color="auto" w:fill="3B3838"/>
            <w:vAlign w:val="center"/>
          </w:tcPr>
          <w:p w:rsidR="00522688" w:rsidRDefault="004E4FBB">
            <w:pPr>
              <w:jc w:val="center"/>
              <w:rPr>
                <w:b/>
                <w:sz w:val="18"/>
                <w:szCs w:val="18"/>
              </w:rPr>
            </w:pPr>
            <w:r>
              <w:rPr>
                <w:b/>
                <w:sz w:val="18"/>
                <w:szCs w:val="18"/>
              </w:rPr>
              <w:t>Valor Presup</w:t>
            </w:r>
            <w:r>
              <w:rPr>
                <w:b/>
                <w:sz w:val="18"/>
                <w:szCs w:val="18"/>
              </w:rPr>
              <w:t>uesto Oficial (pesos incluido IVA)</w:t>
            </w:r>
          </w:p>
        </w:tc>
        <w:tc>
          <w:tcPr>
            <w:tcW w:w="2209" w:type="dxa"/>
            <w:shd w:val="clear" w:color="auto" w:fill="3B3838"/>
            <w:vAlign w:val="center"/>
          </w:tcPr>
          <w:p w:rsidR="00522688" w:rsidRDefault="004E4FBB">
            <w:pPr>
              <w:jc w:val="center"/>
              <w:rPr>
                <w:b/>
                <w:sz w:val="18"/>
                <w:szCs w:val="18"/>
              </w:rPr>
            </w:pPr>
            <w:r>
              <w:rPr>
                <w:b/>
                <w:sz w:val="18"/>
                <w:szCs w:val="18"/>
              </w:rPr>
              <w:t>Lugar(es) de ejecución del contrato</w:t>
            </w:r>
          </w:p>
        </w:tc>
      </w:tr>
      <w:tr w:rsidR="00522688">
        <w:trPr>
          <w:trHeight w:val="964"/>
        </w:trPr>
        <w:tc>
          <w:tcPr>
            <w:tcW w:w="1118" w:type="dxa"/>
            <w:vAlign w:val="center"/>
          </w:tcPr>
          <w:p w:rsidR="00522688" w:rsidRDefault="004E4FBB">
            <w:pPr>
              <w:ind w:left="57" w:right="57"/>
              <w:jc w:val="center"/>
              <w:rPr>
                <w:sz w:val="18"/>
                <w:szCs w:val="18"/>
                <w:highlight w:val="lightGray"/>
              </w:rPr>
            </w:pPr>
            <w:r>
              <w:rPr>
                <w:sz w:val="18"/>
                <w:szCs w:val="18"/>
                <w:highlight w:val="lightGray"/>
              </w:rPr>
              <w:t>[Incluir el número del lote]</w:t>
            </w:r>
          </w:p>
        </w:tc>
        <w:tc>
          <w:tcPr>
            <w:tcW w:w="2332" w:type="dxa"/>
            <w:vAlign w:val="center"/>
          </w:tcPr>
          <w:p w:rsidR="00522688" w:rsidRDefault="004E4FBB">
            <w:pPr>
              <w:ind w:left="57" w:right="57"/>
              <w:jc w:val="center"/>
              <w:rPr>
                <w:sz w:val="18"/>
                <w:szCs w:val="18"/>
                <w:highlight w:val="lightGray"/>
              </w:rPr>
            </w:pPr>
            <w:r>
              <w:rPr>
                <w:sz w:val="18"/>
                <w:szCs w:val="18"/>
                <w:highlight w:val="lightGray"/>
              </w:rPr>
              <w:t>[Incluir objeto del proyecto, lote o grupo]</w:t>
            </w:r>
          </w:p>
        </w:tc>
        <w:tc>
          <w:tcPr>
            <w:tcW w:w="1321" w:type="dxa"/>
            <w:vAlign w:val="center"/>
          </w:tcPr>
          <w:p w:rsidR="00522688" w:rsidRDefault="004E4FBB">
            <w:pPr>
              <w:ind w:left="57" w:right="57"/>
              <w:jc w:val="center"/>
              <w:rPr>
                <w:sz w:val="18"/>
                <w:szCs w:val="18"/>
                <w:highlight w:val="lightGray"/>
              </w:rPr>
            </w:pPr>
            <w:r>
              <w:rPr>
                <w:sz w:val="18"/>
                <w:szCs w:val="18"/>
                <w:highlight w:val="lightGray"/>
              </w:rPr>
              <w:t>[Incluir plazo en meses]</w:t>
            </w:r>
          </w:p>
          <w:p w:rsidR="00522688" w:rsidRDefault="00522688">
            <w:pPr>
              <w:ind w:left="57" w:right="57"/>
              <w:jc w:val="center"/>
              <w:rPr>
                <w:sz w:val="18"/>
                <w:szCs w:val="18"/>
                <w:highlight w:val="lightGray"/>
              </w:rPr>
            </w:pPr>
          </w:p>
          <w:p w:rsidR="00522688" w:rsidRDefault="004E4FBB">
            <w:pPr>
              <w:ind w:left="57" w:right="57"/>
              <w:jc w:val="center"/>
              <w:rPr>
                <w:sz w:val="18"/>
                <w:szCs w:val="18"/>
                <w:highlight w:val="lightGray"/>
              </w:rPr>
            </w:pPr>
            <w:r>
              <w:rPr>
                <w:b/>
                <w:color w:val="000000"/>
                <w:sz w:val="18"/>
                <w:szCs w:val="18"/>
                <w:highlight w:val="yellow"/>
              </w:rPr>
              <w:t>Nota:</w:t>
            </w:r>
            <w:r>
              <w:rPr>
                <w:color w:val="000000"/>
                <w:sz w:val="18"/>
                <w:szCs w:val="18"/>
                <w:highlight w:val="yellow"/>
              </w:rPr>
              <w:t xml:space="preserve"> De conformidad con el numeral 3.3 del estudio previo</w:t>
            </w:r>
          </w:p>
        </w:tc>
        <w:tc>
          <w:tcPr>
            <w:tcW w:w="1946" w:type="dxa"/>
            <w:vAlign w:val="center"/>
          </w:tcPr>
          <w:p w:rsidR="00522688" w:rsidRDefault="004E4FBB">
            <w:pPr>
              <w:ind w:left="57" w:right="57"/>
              <w:jc w:val="center"/>
              <w:rPr>
                <w:sz w:val="18"/>
                <w:szCs w:val="18"/>
                <w:highlight w:val="lightGray"/>
              </w:rPr>
            </w:pPr>
            <w:r>
              <w:rPr>
                <w:sz w:val="18"/>
                <w:szCs w:val="18"/>
                <w:highlight w:val="lightGray"/>
              </w:rPr>
              <w:t>[Incluir presupuesto oficial]</w:t>
            </w:r>
          </w:p>
          <w:p w:rsidR="00522688" w:rsidRDefault="00522688">
            <w:pPr>
              <w:ind w:left="57" w:right="57"/>
              <w:jc w:val="center"/>
              <w:rPr>
                <w:sz w:val="18"/>
                <w:szCs w:val="18"/>
                <w:highlight w:val="lightGray"/>
              </w:rPr>
            </w:pPr>
          </w:p>
          <w:p w:rsidR="00522688" w:rsidRDefault="004E4FBB">
            <w:pPr>
              <w:ind w:right="57"/>
              <w:jc w:val="left"/>
              <w:rPr>
                <w:b/>
                <w:sz w:val="18"/>
                <w:szCs w:val="18"/>
                <w:highlight w:val="yellow"/>
              </w:rPr>
            </w:pPr>
            <w:r>
              <w:rPr>
                <w:b/>
                <w:color w:val="000000"/>
                <w:sz w:val="18"/>
                <w:szCs w:val="18"/>
                <w:highlight w:val="yellow"/>
              </w:rPr>
              <w:t>Nota:</w:t>
            </w:r>
            <w:r>
              <w:rPr>
                <w:color w:val="000000"/>
                <w:sz w:val="18"/>
                <w:szCs w:val="18"/>
                <w:highlight w:val="yellow"/>
              </w:rPr>
              <w:t xml:space="preserve"> De conformidad con el numeral 5.2 del estudio previo</w:t>
            </w:r>
          </w:p>
          <w:p w:rsidR="00522688" w:rsidRDefault="00522688">
            <w:pPr>
              <w:ind w:left="57" w:right="57"/>
              <w:jc w:val="center"/>
              <w:rPr>
                <w:sz w:val="18"/>
                <w:szCs w:val="18"/>
                <w:highlight w:val="lightGray"/>
              </w:rPr>
            </w:pPr>
          </w:p>
        </w:tc>
        <w:tc>
          <w:tcPr>
            <w:tcW w:w="2209" w:type="dxa"/>
            <w:vAlign w:val="center"/>
          </w:tcPr>
          <w:p w:rsidR="00522688" w:rsidRDefault="004E4FBB">
            <w:pPr>
              <w:ind w:left="57" w:right="57"/>
              <w:jc w:val="center"/>
              <w:rPr>
                <w:sz w:val="18"/>
                <w:szCs w:val="18"/>
                <w:highlight w:val="lightGray"/>
              </w:rPr>
            </w:pPr>
            <w:r>
              <w:rPr>
                <w:sz w:val="18"/>
                <w:szCs w:val="18"/>
                <w:highlight w:val="lightGray"/>
              </w:rPr>
              <w:t>[Incluir lugar o lugares de ejecución – aclarar si se ejecuta en zona rural o urbana]</w:t>
            </w:r>
          </w:p>
          <w:p w:rsidR="00522688" w:rsidRDefault="00522688">
            <w:pPr>
              <w:ind w:left="57" w:right="57"/>
              <w:jc w:val="center"/>
              <w:rPr>
                <w:sz w:val="18"/>
                <w:szCs w:val="18"/>
                <w:highlight w:val="lightGray"/>
              </w:rPr>
            </w:pPr>
          </w:p>
          <w:p w:rsidR="00522688" w:rsidRDefault="004E4FBB">
            <w:pPr>
              <w:ind w:right="57"/>
              <w:rPr>
                <w:sz w:val="18"/>
                <w:szCs w:val="18"/>
              </w:rPr>
            </w:pPr>
            <w:r>
              <w:rPr>
                <w:b/>
                <w:color w:val="000000"/>
                <w:sz w:val="18"/>
                <w:szCs w:val="18"/>
                <w:highlight w:val="yellow"/>
              </w:rPr>
              <w:t>Nota:</w:t>
            </w:r>
            <w:r>
              <w:rPr>
                <w:color w:val="000000"/>
                <w:sz w:val="18"/>
                <w:szCs w:val="18"/>
                <w:highlight w:val="yellow"/>
              </w:rPr>
              <w:t xml:space="preserve"> De conformidad con el numeral 3.5 del estudio previo</w:t>
            </w:r>
          </w:p>
          <w:p w:rsidR="00522688" w:rsidRDefault="00522688">
            <w:pPr>
              <w:ind w:left="57" w:right="57"/>
              <w:jc w:val="center"/>
              <w:rPr>
                <w:sz w:val="18"/>
                <w:szCs w:val="18"/>
                <w:highlight w:val="lightGray"/>
              </w:rPr>
            </w:pPr>
          </w:p>
        </w:tc>
      </w:tr>
      <w:tr w:rsidR="00522688">
        <w:trPr>
          <w:trHeight w:val="964"/>
        </w:trPr>
        <w:tc>
          <w:tcPr>
            <w:tcW w:w="1118" w:type="dxa"/>
            <w:vAlign w:val="center"/>
          </w:tcPr>
          <w:p w:rsidR="00522688" w:rsidRDefault="004E4FBB">
            <w:pPr>
              <w:ind w:left="57" w:right="57"/>
              <w:jc w:val="center"/>
              <w:rPr>
                <w:sz w:val="18"/>
                <w:szCs w:val="18"/>
                <w:highlight w:val="lightGray"/>
              </w:rPr>
            </w:pPr>
            <w:r>
              <w:rPr>
                <w:sz w:val="18"/>
                <w:szCs w:val="18"/>
                <w:highlight w:val="lightGray"/>
              </w:rPr>
              <w:t>[Incluir el número del lote]</w:t>
            </w:r>
          </w:p>
        </w:tc>
        <w:tc>
          <w:tcPr>
            <w:tcW w:w="2332" w:type="dxa"/>
            <w:vAlign w:val="center"/>
          </w:tcPr>
          <w:p w:rsidR="00522688" w:rsidRDefault="004E4FBB">
            <w:pPr>
              <w:ind w:left="57" w:right="57"/>
              <w:jc w:val="center"/>
              <w:rPr>
                <w:sz w:val="18"/>
                <w:szCs w:val="18"/>
                <w:highlight w:val="lightGray"/>
              </w:rPr>
            </w:pPr>
            <w:r>
              <w:rPr>
                <w:sz w:val="18"/>
                <w:szCs w:val="18"/>
                <w:highlight w:val="lightGray"/>
              </w:rPr>
              <w:t>[Incluir objeto del proyecto, lote o grupo]</w:t>
            </w:r>
          </w:p>
        </w:tc>
        <w:tc>
          <w:tcPr>
            <w:tcW w:w="1321" w:type="dxa"/>
            <w:vAlign w:val="center"/>
          </w:tcPr>
          <w:p w:rsidR="00522688" w:rsidRDefault="004E4FBB">
            <w:pPr>
              <w:ind w:left="57" w:right="57"/>
              <w:jc w:val="center"/>
              <w:rPr>
                <w:sz w:val="18"/>
                <w:szCs w:val="18"/>
                <w:highlight w:val="lightGray"/>
              </w:rPr>
            </w:pPr>
            <w:r>
              <w:rPr>
                <w:sz w:val="18"/>
                <w:szCs w:val="18"/>
                <w:highlight w:val="lightGray"/>
              </w:rPr>
              <w:t>[Incluir plazo en meses]</w:t>
            </w:r>
          </w:p>
          <w:p w:rsidR="00522688" w:rsidRDefault="00522688">
            <w:pPr>
              <w:ind w:left="57" w:right="57"/>
              <w:jc w:val="center"/>
              <w:rPr>
                <w:sz w:val="18"/>
                <w:szCs w:val="18"/>
                <w:highlight w:val="lightGray"/>
              </w:rPr>
            </w:pPr>
          </w:p>
          <w:p w:rsidR="00522688" w:rsidRDefault="004E4FBB">
            <w:pPr>
              <w:ind w:left="57" w:right="57"/>
              <w:jc w:val="center"/>
              <w:rPr>
                <w:sz w:val="18"/>
                <w:szCs w:val="18"/>
                <w:highlight w:val="lightGray"/>
              </w:rPr>
            </w:pPr>
            <w:r>
              <w:rPr>
                <w:b/>
                <w:color w:val="000000"/>
                <w:sz w:val="18"/>
                <w:szCs w:val="18"/>
                <w:highlight w:val="yellow"/>
              </w:rPr>
              <w:t>Nota:</w:t>
            </w:r>
            <w:r>
              <w:rPr>
                <w:color w:val="000000"/>
                <w:sz w:val="18"/>
                <w:szCs w:val="18"/>
                <w:highlight w:val="yellow"/>
              </w:rPr>
              <w:t xml:space="preserve"> De conformidad con el numeral 3.3 del estudio previo</w:t>
            </w:r>
          </w:p>
        </w:tc>
        <w:tc>
          <w:tcPr>
            <w:tcW w:w="1946" w:type="dxa"/>
            <w:vAlign w:val="center"/>
          </w:tcPr>
          <w:p w:rsidR="00522688" w:rsidRDefault="004E4FBB">
            <w:pPr>
              <w:ind w:left="57" w:right="57"/>
              <w:jc w:val="center"/>
              <w:rPr>
                <w:sz w:val="18"/>
                <w:szCs w:val="18"/>
                <w:highlight w:val="lightGray"/>
              </w:rPr>
            </w:pPr>
            <w:r>
              <w:rPr>
                <w:sz w:val="18"/>
                <w:szCs w:val="18"/>
                <w:highlight w:val="lightGray"/>
              </w:rPr>
              <w:t>[Incluir presupuesto oficial]</w:t>
            </w:r>
          </w:p>
          <w:p w:rsidR="00522688" w:rsidRDefault="00522688">
            <w:pPr>
              <w:ind w:left="57" w:right="57"/>
              <w:jc w:val="center"/>
              <w:rPr>
                <w:sz w:val="18"/>
                <w:szCs w:val="18"/>
                <w:highlight w:val="lightGray"/>
              </w:rPr>
            </w:pPr>
          </w:p>
          <w:p w:rsidR="00522688" w:rsidRDefault="004E4FBB">
            <w:pPr>
              <w:ind w:right="57"/>
              <w:jc w:val="left"/>
              <w:rPr>
                <w:b/>
                <w:sz w:val="18"/>
                <w:szCs w:val="18"/>
                <w:highlight w:val="yellow"/>
              </w:rPr>
            </w:pPr>
            <w:r>
              <w:rPr>
                <w:b/>
                <w:color w:val="000000"/>
                <w:sz w:val="18"/>
                <w:szCs w:val="18"/>
                <w:highlight w:val="yellow"/>
              </w:rPr>
              <w:t>Nota:</w:t>
            </w:r>
            <w:r>
              <w:rPr>
                <w:color w:val="000000"/>
                <w:sz w:val="18"/>
                <w:szCs w:val="18"/>
                <w:highlight w:val="yellow"/>
              </w:rPr>
              <w:t xml:space="preserve"> De conformidad con el numeral 5.2 del estudio previo</w:t>
            </w:r>
          </w:p>
          <w:p w:rsidR="00522688" w:rsidRDefault="00522688">
            <w:pPr>
              <w:ind w:left="57" w:right="57"/>
              <w:jc w:val="center"/>
              <w:rPr>
                <w:sz w:val="18"/>
                <w:szCs w:val="18"/>
                <w:highlight w:val="lightGray"/>
              </w:rPr>
            </w:pPr>
          </w:p>
        </w:tc>
        <w:tc>
          <w:tcPr>
            <w:tcW w:w="2209" w:type="dxa"/>
            <w:vAlign w:val="center"/>
          </w:tcPr>
          <w:p w:rsidR="00522688" w:rsidRDefault="004E4FBB">
            <w:pPr>
              <w:ind w:left="57" w:right="57"/>
              <w:jc w:val="center"/>
              <w:rPr>
                <w:sz w:val="18"/>
                <w:szCs w:val="18"/>
                <w:highlight w:val="lightGray"/>
              </w:rPr>
            </w:pPr>
            <w:r>
              <w:rPr>
                <w:sz w:val="18"/>
                <w:szCs w:val="18"/>
                <w:highlight w:val="lightGray"/>
              </w:rPr>
              <w:t>[Incluir lugar o lugares de ejecución – aclarar si se ejecuta en zona rural o urbana]</w:t>
            </w:r>
          </w:p>
          <w:p w:rsidR="00522688" w:rsidRDefault="00522688">
            <w:pPr>
              <w:ind w:left="57" w:right="57"/>
              <w:jc w:val="center"/>
              <w:rPr>
                <w:sz w:val="18"/>
                <w:szCs w:val="18"/>
                <w:highlight w:val="lightGray"/>
              </w:rPr>
            </w:pPr>
          </w:p>
          <w:p w:rsidR="00522688" w:rsidRDefault="004E4FBB">
            <w:pPr>
              <w:ind w:right="57"/>
              <w:rPr>
                <w:sz w:val="18"/>
                <w:szCs w:val="18"/>
              </w:rPr>
            </w:pPr>
            <w:r>
              <w:rPr>
                <w:b/>
                <w:color w:val="000000"/>
                <w:sz w:val="18"/>
                <w:szCs w:val="18"/>
                <w:highlight w:val="yellow"/>
              </w:rPr>
              <w:t>Nota:</w:t>
            </w:r>
            <w:r>
              <w:rPr>
                <w:color w:val="000000"/>
                <w:sz w:val="18"/>
                <w:szCs w:val="18"/>
                <w:highlight w:val="yellow"/>
              </w:rPr>
              <w:t xml:space="preserve"> De conformidad con el numeral 3.5 del estudio previo</w:t>
            </w:r>
          </w:p>
          <w:p w:rsidR="00522688" w:rsidRDefault="00522688">
            <w:pPr>
              <w:ind w:left="57" w:right="57"/>
              <w:jc w:val="center"/>
              <w:rPr>
                <w:sz w:val="18"/>
                <w:szCs w:val="18"/>
                <w:highlight w:val="lightGray"/>
              </w:rPr>
            </w:pPr>
          </w:p>
        </w:tc>
      </w:tr>
    </w:tbl>
    <w:p w:rsidR="00522688" w:rsidRDefault="00522688"/>
    <w:p w:rsidR="00522688" w:rsidRDefault="004E4FBB">
      <w:r>
        <w:rPr>
          <w:highlight w:val="yellow"/>
        </w:rPr>
        <w:t>(*incluya el valor por el cual se adjudicará el proceso de selección</w:t>
      </w:r>
      <w:r>
        <w:t>)XXXX</w:t>
      </w:r>
    </w:p>
    <w:p w:rsidR="00522688" w:rsidRDefault="004E4FBB">
      <w:r>
        <w:lastRenderedPageBreak/>
        <w:t>La consultoría tiene las especificaciones indicadas en el “Anexo 1 – Anexo Técnico” y el Estudio Previo, los cuales incluyen la descripción del alcance y especificaciones del proyecto de consultoría y su información técnica (localización, actividades a eje</w:t>
      </w:r>
      <w:r>
        <w:t>cutar, alcance de la consultoría, entre otros.).</w:t>
      </w:r>
    </w:p>
    <w:p w:rsidR="00522688" w:rsidRDefault="00522688"/>
    <w:p w:rsidR="00522688" w:rsidRDefault="004E4FBB">
      <w:pPr>
        <w:pStyle w:val="Ttulo2"/>
        <w:numPr>
          <w:ilvl w:val="1"/>
          <w:numId w:val="15"/>
        </w:numPr>
        <w:ind w:left="709" w:hanging="709"/>
      </w:pPr>
      <w:bookmarkStart w:id="4" w:name="_heading=h.3znysh7" w:colFirst="0" w:colLast="0"/>
      <w:bookmarkEnd w:id="4"/>
      <w:r>
        <w:t>DOCUMENTOS DEL PROCESO</w:t>
      </w:r>
    </w:p>
    <w:p w:rsidR="00522688" w:rsidRDefault="00522688"/>
    <w:p w:rsidR="00522688" w:rsidRDefault="004E4FBB">
      <w:r>
        <w:t>Los documentos del proceso son los señalados en el capítulo XI del presente documento, así como todos los soportes y documentos señalados en el Artículo 2.2.1.1.1.3.1. del Decreto 10</w:t>
      </w:r>
      <w:r>
        <w:t>82 de 2015.</w:t>
      </w:r>
    </w:p>
    <w:p w:rsidR="00522688" w:rsidRDefault="00522688"/>
    <w:p w:rsidR="00522688" w:rsidRDefault="004E4FBB">
      <w:pPr>
        <w:pStyle w:val="Ttulo2"/>
        <w:numPr>
          <w:ilvl w:val="1"/>
          <w:numId w:val="15"/>
        </w:numPr>
        <w:ind w:left="709" w:hanging="709"/>
      </w:pPr>
      <w:bookmarkStart w:id="5" w:name="_heading=h.2et92p0" w:colFirst="0" w:colLast="0"/>
      <w:bookmarkEnd w:id="5"/>
      <w:r>
        <w:t xml:space="preserve">COMUNICACIONES Y OBSERVACIONES AL PROCESO </w:t>
      </w:r>
    </w:p>
    <w:p w:rsidR="00522688" w:rsidRDefault="00522688"/>
    <w:p w:rsidR="00522688" w:rsidRDefault="004E4FBB">
      <w:r>
        <w:rPr>
          <w:highlight w:val="yellow"/>
        </w:rPr>
        <w:t>Cualquier interesado y oferente en las convocatorias públicas adelantadas por el IDU podrá comunicarse con la entidad a través de la plataforma SECOP II y en los términos establecidos para ello. Dent</w:t>
      </w:r>
      <w:r>
        <w:rPr>
          <w:highlight w:val="yellow"/>
        </w:rPr>
        <w:t>ro del proceso de selección solo se atenderán las comunicaciones, preguntas, observaciones efectuados a través de la plataforma; no se admitirá documentación remitida y/o radicada en la sede de la entidad.</w:t>
      </w:r>
    </w:p>
    <w:p w:rsidR="00522688" w:rsidRDefault="00522688"/>
    <w:p w:rsidR="00522688" w:rsidRDefault="004E4FBB">
      <w:r>
        <w:t>Las respuestas se comunicarán a través de la plataforma del SECOP II de acuerdo con el Manual de Uso y condiciones de la plataforma.</w:t>
      </w:r>
    </w:p>
    <w:p w:rsidR="00522688" w:rsidRDefault="00522688"/>
    <w:p w:rsidR="00522688" w:rsidRDefault="004E4FBB">
      <w:r>
        <w:t>Cuando el Proponente registre el certificado de indisponibilidad de la plataforma, la Entidad pondrá a disposición el sigu</w:t>
      </w:r>
      <w:r>
        <w:t xml:space="preserve">iente correo: </w:t>
      </w:r>
      <w:hyperlink r:id="rId11">
        <w:r>
          <w:rPr>
            <w:color w:val="0563C1"/>
            <w:highlight w:val="yellow"/>
            <w:u w:val="single"/>
          </w:rPr>
          <w:t>licitaciones@idu.gov.co</w:t>
        </w:r>
      </w:hyperlink>
      <w:r>
        <w:t xml:space="preserve"> </w:t>
      </w:r>
    </w:p>
    <w:p w:rsidR="00522688" w:rsidRDefault="00522688"/>
    <w:p w:rsidR="00522688" w:rsidRDefault="004E4FBB">
      <w:r>
        <w:rPr>
          <w:highlight w:val="yellow"/>
        </w:rPr>
        <w:t>En todo caso cualquier solicitud efectuada por fuera de los medios descritos o por fuera de los plazos establecidos dentro del cronograma del proceso tendrá el tratam</w:t>
      </w:r>
      <w:r>
        <w:rPr>
          <w:highlight w:val="yellow"/>
        </w:rPr>
        <w:t>iento previsto en las disposiciones constitucionales y legales vigentes referidas al derecho de petición.</w:t>
      </w:r>
    </w:p>
    <w:p w:rsidR="00522688" w:rsidRDefault="00522688"/>
    <w:p w:rsidR="00522688" w:rsidRDefault="004E4FBB">
      <w:pPr>
        <w:pStyle w:val="Ttulo2"/>
        <w:numPr>
          <w:ilvl w:val="1"/>
          <w:numId w:val="15"/>
        </w:numPr>
        <w:ind w:left="709" w:hanging="709"/>
      </w:pPr>
      <w:bookmarkStart w:id="6" w:name="_heading=h.tyjcwt" w:colFirst="0" w:colLast="0"/>
      <w:bookmarkEnd w:id="6"/>
      <w:r>
        <w:t>CLASIFICADOR DE BIENES Y SERVICIOS DE NACIONES UNIDAS (UNSPSC)</w:t>
      </w:r>
    </w:p>
    <w:p w:rsidR="00522688" w:rsidRDefault="00522688"/>
    <w:p w:rsidR="00522688" w:rsidRDefault="004E4FBB">
      <w:r>
        <w:t>El Contrato de Consultoría del proceso de contratación está codificado en el Clasific</w:t>
      </w:r>
      <w:r>
        <w:t>ador de Bienes y Servicios de Naciones Unidas (UNSPSC) bajo el segmento XX</w:t>
      </w:r>
      <w:r>
        <w:rPr>
          <w:highlight w:val="lightGray"/>
        </w:rPr>
        <w:t xml:space="preserve"> y/o </w:t>
      </w:r>
      <w:r>
        <w:t xml:space="preserve">XX con el </w:t>
      </w:r>
      <w:r>
        <w:rPr>
          <w:highlight w:val="lightGray"/>
        </w:rPr>
        <w:t>[cuarto de ser posible o, de lo contrario, en el tercer nivel],</w:t>
      </w:r>
      <w:r>
        <w:t xml:space="preserve"> como se indica en la siguiente tabla:</w:t>
      </w:r>
    </w:p>
    <w:p w:rsidR="00522688" w:rsidRDefault="00522688"/>
    <w:tbl>
      <w:tblPr>
        <w:tblStyle w:val="a1"/>
        <w:tblW w:w="70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4536"/>
      </w:tblGrid>
      <w:tr w:rsidR="00522688">
        <w:trPr>
          <w:trHeight w:val="283"/>
          <w:jc w:val="center"/>
        </w:trPr>
        <w:tc>
          <w:tcPr>
            <w:tcW w:w="2547" w:type="dxa"/>
            <w:shd w:val="clear" w:color="auto" w:fill="3B3838"/>
            <w:vAlign w:val="center"/>
          </w:tcPr>
          <w:p w:rsidR="00522688" w:rsidRDefault="004E4FBB">
            <w:pPr>
              <w:jc w:val="center"/>
              <w:rPr>
                <w:b/>
                <w:sz w:val="18"/>
                <w:szCs w:val="18"/>
              </w:rPr>
            </w:pPr>
            <w:r>
              <w:rPr>
                <w:b/>
                <w:sz w:val="18"/>
                <w:szCs w:val="18"/>
              </w:rPr>
              <w:t>Clasificación UNSPSC</w:t>
            </w:r>
          </w:p>
        </w:tc>
        <w:tc>
          <w:tcPr>
            <w:tcW w:w="4536" w:type="dxa"/>
            <w:shd w:val="clear" w:color="auto" w:fill="3B3838"/>
            <w:vAlign w:val="center"/>
          </w:tcPr>
          <w:p w:rsidR="00522688" w:rsidRDefault="004E4FBB">
            <w:pPr>
              <w:jc w:val="center"/>
              <w:rPr>
                <w:b/>
                <w:sz w:val="18"/>
                <w:szCs w:val="18"/>
              </w:rPr>
            </w:pPr>
            <w:r>
              <w:rPr>
                <w:b/>
                <w:sz w:val="18"/>
                <w:szCs w:val="18"/>
              </w:rPr>
              <w:t>Descripción</w:t>
            </w:r>
          </w:p>
        </w:tc>
      </w:tr>
      <w:tr w:rsidR="00522688">
        <w:trPr>
          <w:trHeight w:val="340"/>
          <w:jc w:val="center"/>
        </w:trPr>
        <w:tc>
          <w:tcPr>
            <w:tcW w:w="2547" w:type="dxa"/>
            <w:vAlign w:val="center"/>
          </w:tcPr>
          <w:p w:rsidR="00522688" w:rsidRDefault="004E4FBB">
            <w:pPr>
              <w:jc w:val="center"/>
              <w:rPr>
                <w:sz w:val="18"/>
                <w:szCs w:val="18"/>
                <w:highlight w:val="lightGray"/>
              </w:rPr>
            </w:pPr>
            <w:r>
              <w:rPr>
                <w:sz w:val="18"/>
                <w:szCs w:val="18"/>
                <w:highlight w:val="lightGray"/>
              </w:rPr>
              <w:t>[Completar de acuerdo con fami</w:t>
            </w:r>
            <w:r>
              <w:rPr>
                <w:sz w:val="18"/>
                <w:szCs w:val="18"/>
                <w:highlight w:val="lightGray"/>
              </w:rPr>
              <w:t>lia, clase, y producto]</w:t>
            </w:r>
          </w:p>
        </w:tc>
        <w:tc>
          <w:tcPr>
            <w:tcW w:w="4536" w:type="dxa"/>
            <w:vAlign w:val="center"/>
          </w:tcPr>
          <w:p w:rsidR="00522688" w:rsidRDefault="004E4FBB">
            <w:pPr>
              <w:jc w:val="center"/>
              <w:rPr>
                <w:sz w:val="18"/>
                <w:szCs w:val="18"/>
              </w:rPr>
            </w:pPr>
            <w:r>
              <w:rPr>
                <w:sz w:val="18"/>
                <w:szCs w:val="18"/>
                <w:highlight w:val="lightGray"/>
              </w:rPr>
              <w:t>[Incluir descripción]</w:t>
            </w:r>
          </w:p>
        </w:tc>
      </w:tr>
      <w:tr w:rsidR="00522688">
        <w:trPr>
          <w:trHeight w:val="340"/>
          <w:jc w:val="center"/>
        </w:trPr>
        <w:tc>
          <w:tcPr>
            <w:tcW w:w="2547" w:type="dxa"/>
            <w:vAlign w:val="center"/>
          </w:tcPr>
          <w:p w:rsidR="00522688" w:rsidRDefault="004E4FBB">
            <w:pPr>
              <w:jc w:val="center"/>
              <w:rPr>
                <w:sz w:val="18"/>
                <w:szCs w:val="18"/>
              </w:rPr>
            </w:pPr>
            <w:r>
              <w:rPr>
                <w:sz w:val="18"/>
                <w:szCs w:val="18"/>
                <w:highlight w:val="lightGray"/>
              </w:rPr>
              <w:t>[Completar de acuerdo con familia, clase, y producto]</w:t>
            </w:r>
          </w:p>
        </w:tc>
        <w:tc>
          <w:tcPr>
            <w:tcW w:w="4536" w:type="dxa"/>
            <w:vAlign w:val="center"/>
          </w:tcPr>
          <w:p w:rsidR="00522688" w:rsidRDefault="004E4FBB">
            <w:pPr>
              <w:jc w:val="center"/>
              <w:rPr>
                <w:sz w:val="18"/>
                <w:szCs w:val="18"/>
              </w:rPr>
            </w:pPr>
            <w:r>
              <w:rPr>
                <w:sz w:val="18"/>
                <w:szCs w:val="18"/>
                <w:highlight w:val="lightGray"/>
              </w:rPr>
              <w:t>[Incluir descripción]</w:t>
            </w:r>
          </w:p>
        </w:tc>
      </w:tr>
      <w:tr w:rsidR="00522688">
        <w:trPr>
          <w:trHeight w:val="340"/>
          <w:jc w:val="center"/>
        </w:trPr>
        <w:tc>
          <w:tcPr>
            <w:tcW w:w="2547" w:type="dxa"/>
            <w:vAlign w:val="center"/>
          </w:tcPr>
          <w:p w:rsidR="00522688" w:rsidRDefault="004E4FBB">
            <w:pPr>
              <w:jc w:val="center"/>
              <w:rPr>
                <w:sz w:val="18"/>
                <w:szCs w:val="18"/>
              </w:rPr>
            </w:pPr>
            <w:r>
              <w:rPr>
                <w:sz w:val="18"/>
                <w:szCs w:val="18"/>
                <w:highlight w:val="lightGray"/>
              </w:rPr>
              <w:t>[Completar de acuerdo con familia, clase, y producto]</w:t>
            </w:r>
          </w:p>
        </w:tc>
        <w:tc>
          <w:tcPr>
            <w:tcW w:w="4536" w:type="dxa"/>
            <w:vAlign w:val="center"/>
          </w:tcPr>
          <w:p w:rsidR="00522688" w:rsidRDefault="004E4FBB">
            <w:pPr>
              <w:jc w:val="center"/>
              <w:rPr>
                <w:sz w:val="18"/>
                <w:szCs w:val="18"/>
              </w:rPr>
            </w:pPr>
            <w:r>
              <w:rPr>
                <w:sz w:val="18"/>
                <w:szCs w:val="18"/>
                <w:highlight w:val="lightGray"/>
              </w:rPr>
              <w:t>[Incluir descripción]</w:t>
            </w:r>
          </w:p>
        </w:tc>
      </w:tr>
    </w:tbl>
    <w:p w:rsidR="00522688" w:rsidRDefault="00522688"/>
    <w:p w:rsidR="00522688" w:rsidRDefault="004E4FBB">
      <w:pPr>
        <w:pStyle w:val="Ttulo2"/>
        <w:numPr>
          <w:ilvl w:val="1"/>
          <w:numId w:val="15"/>
        </w:numPr>
        <w:ind w:left="709" w:hanging="709"/>
      </w:pPr>
      <w:bookmarkStart w:id="7" w:name="_heading=h.3dy6vkm" w:colFirst="0" w:colLast="0"/>
      <w:bookmarkEnd w:id="7"/>
      <w:r>
        <w:t>RECURSOS QUE RESPALDAN LA CONTRATACIÓN</w:t>
      </w:r>
    </w:p>
    <w:p w:rsidR="00522688" w:rsidRDefault="00522688"/>
    <w:p w:rsidR="00522688" w:rsidRDefault="004E4FBB">
      <w:pPr>
        <w:rPr>
          <w:highlight w:val="yellow"/>
        </w:rPr>
      </w:pPr>
      <w:r>
        <w:rPr>
          <w:highlight w:val="yellow"/>
        </w:rPr>
        <w:t>[En caso de que al momento de la publicación del proyecto de pliego no se cuente con la disponibilidad presupuestal utilice el siguiente párrafo, en caso contrario elimínelo]</w:t>
      </w:r>
    </w:p>
    <w:p w:rsidR="00522688" w:rsidRDefault="00522688">
      <w:pPr>
        <w:rPr>
          <w:highlight w:val="yellow"/>
        </w:rPr>
      </w:pPr>
    </w:p>
    <w:p w:rsidR="00522688" w:rsidRDefault="004E4FBB">
      <w:r>
        <w:rPr>
          <w:highlight w:val="yellow"/>
        </w:rPr>
        <w:t>De conformidad con lo establecido en el artículo 6° de la Ley 1882 de 2018 no es</w:t>
      </w:r>
      <w:r>
        <w:rPr>
          <w:highlight w:val="yellow"/>
        </w:rPr>
        <w:t xml:space="preserve"> obligatorio contar con disponibilidad presupuestal para realizar la publicación del proyecto de Pliego de Condiciones.</w:t>
      </w:r>
    </w:p>
    <w:p w:rsidR="00522688" w:rsidRDefault="00522688"/>
    <w:p w:rsidR="00522688" w:rsidRDefault="004E4FBB">
      <w:r>
        <w:t>Para respaldar el compromiso derivado del Proceso de Contratación, la Entidad cuenta con el siguiente Certificado de Disponibilidad Pre</w:t>
      </w:r>
      <w:r>
        <w:t>supuestal:</w:t>
      </w:r>
    </w:p>
    <w:p w:rsidR="00522688" w:rsidRDefault="00522688"/>
    <w:tbl>
      <w:tblPr>
        <w:tblStyle w:val="a2"/>
        <w:tblW w:w="89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2973"/>
        <w:gridCol w:w="2973"/>
      </w:tblGrid>
      <w:tr w:rsidR="00522688">
        <w:tc>
          <w:tcPr>
            <w:tcW w:w="2973" w:type="dxa"/>
            <w:shd w:val="clear" w:color="auto" w:fill="3B3838"/>
            <w:vAlign w:val="center"/>
          </w:tcPr>
          <w:p w:rsidR="00522688" w:rsidRDefault="004E4FBB">
            <w:pPr>
              <w:jc w:val="center"/>
              <w:rPr>
                <w:b/>
                <w:sz w:val="18"/>
                <w:szCs w:val="18"/>
              </w:rPr>
            </w:pPr>
            <w:r>
              <w:rPr>
                <w:b/>
                <w:sz w:val="18"/>
                <w:szCs w:val="18"/>
              </w:rPr>
              <w:lastRenderedPageBreak/>
              <w:t>Número Certificado Disponibilidad Presupuestal</w:t>
            </w:r>
          </w:p>
        </w:tc>
        <w:tc>
          <w:tcPr>
            <w:tcW w:w="2973" w:type="dxa"/>
            <w:shd w:val="clear" w:color="auto" w:fill="3B3838"/>
            <w:vAlign w:val="center"/>
          </w:tcPr>
          <w:p w:rsidR="00522688" w:rsidRDefault="004E4FBB">
            <w:pPr>
              <w:jc w:val="center"/>
              <w:rPr>
                <w:b/>
                <w:sz w:val="18"/>
                <w:szCs w:val="18"/>
              </w:rPr>
            </w:pPr>
            <w:r>
              <w:rPr>
                <w:b/>
                <w:sz w:val="18"/>
                <w:szCs w:val="18"/>
              </w:rPr>
              <w:t>Fecha Certificado Disponibilidad Presupuestal</w:t>
            </w:r>
          </w:p>
        </w:tc>
        <w:tc>
          <w:tcPr>
            <w:tcW w:w="2973" w:type="dxa"/>
            <w:shd w:val="clear" w:color="auto" w:fill="3B3838"/>
            <w:vAlign w:val="center"/>
          </w:tcPr>
          <w:p w:rsidR="00522688" w:rsidRDefault="004E4FBB">
            <w:pPr>
              <w:jc w:val="center"/>
              <w:rPr>
                <w:b/>
                <w:sz w:val="18"/>
                <w:szCs w:val="18"/>
              </w:rPr>
            </w:pPr>
            <w:r>
              <w:rPr>
                <w:b/>
                <w:sz w:val="18"/>
                <w:szCs w:val="18"/>
              </w:rPr>
              <w:t>Valor Certificado de Disponibilidad Presupuestal</w:t>
            </w:r>
          </w:p>
        </w:tc>
      </w:tr>
      <w:tr w:rsidR="00522688">
        <w:tc>
          <w:tcPr>
            <w:tcW w:w="2973" w:type="dxa"/>
            <w:vAlign w:val="center"/>
          </w:tcPr>
          <w:p w:rsidR="00522688" w:rsidRDefault="004E4FBB">
            <w:pPr>
              <w:jc w:val="center"/>
              <w:rPr>
                <w:sz w:val="18"/>
                <w:szCs w:val="18"/>
                <w:highlight w:val="lightGray"/>
              </w:rPr>
            </w:pPr>
            <w:r>
              <w:rPr>
                <w:sz w:val="18"/>
                <w:szCs w:val="18"/>
                <w:highlight w:val="lightGray"/>
              </w:rPr>
              <w:t>[Incluir el número del certificado]</w:t>
            </w:r>
          </w:p>
        </w:tc>
        <w:tc>
          <w:tcPr>
            <w:tcW w:w="2973" w:type="dxa"/>
            <w:vAlign w:val="center"/>
          </w:tcPr>
          <w:p w:rsidR="00522688" w:rsidRDefault="004E4FBB">
            <w:pPr>
              <w:jc w:val="center"/>
              <w:rPr>
                <w:sz w:val="18"/>
                <w:szCs w:val="18"/>
                <w:highlight w:val="lightGray"/>
              </w:rPr>
            </w:pPr>
            <w:r>
              <w:rPr>
                <w:sz w:val="18"/>
                <w:szCs w:val="18"/>
                <w:highlight w:val="lightGray"/>
              </w:rPr>
              <w:t>[Incluir la fecha del certificado]</w:t>
            </w:r>
          </w:p>
        </w:tc>
        <w:tc>
          <w:tcPr>
            <w:tcW w:w="2973" w:type="dxa"/>
            <w:vAlign w:val="center"/>
          </w:tcPr>
          <w:p w:rsidR="00522688" w:rsidRDefault="004E4FBB">
            <w:pPr>
              <w:jc w:val="center"/>
              <w:rPr>
                <w:sz w:val="18"/>
                <w:szCs w:val="18"/>
              </w:rPr>
            </w:pPr>
            <w:r>
              <w:rPr>
                <w:sz w:val="18"/>
                <w:szCs w:val="18"/>
                <w:highlight w:val="lightGray"/>
              </w:rPr>
              <w:t>[Incluir el valor del certificado de disponibilidad presupuestal]</w:t>
            </w:r>
          </w:p>
        </w:tc>
      </w:tr>
    </w:tbl>
    <w:p w:rsidR="00522688" w:rsidRDefault="00522688"/>
    <w:p w:rsidR="00522688" w:rsidRDefault="004E4FBB">
      <w:r>
        <w:rPr>
          <w:highlight w:val="lightGray"/>
        </w:rPr>
        <w:t>[Incluir otras fuentes de recursos en caso de que aplique]</w:t>
      </w:r>
    </w:p>
    <w:p w:rsidR="00522688" w:rsidRDefault="00522688"/>
    <w:p w:rsidR="00522688" w:rsidRDefault="004E4FBB">
      <w:r>
        <w:t>La necesidad se encuentra incluida en el Plan Anual de Adquisiciones de la Entidad.</w:t>
      </w:r>
    </w:p>
    <w:p w:rsidR="00522688" w:rsidRDefault="00522688"/>
    <w:p w:rsidR="00522688" w:rsidRDefault="00522688">
      <w:pPr>
        <w:rPr>
          <w:highlight w:val="lightGray"/>
        </w:rPr>
      </w:pPr>
    </w:p>
    <w:p w:rsidR="00522688" w:rsidRDefault="004E4FBB">
      <w:pPr>
        <w:pStyle w:val="Ttulo2"/>
        <w:numPr>
          <w:ilvl w:val="1"/>
          <w:numId w:val="15"/>
        </w:numPr>
        <w:ind w:left="709" w:hanging="709"/>
      </w:pPr>
      <w:bookmarkStart w:id="8" w:name="_heading=h.1t3h5sf" w:colFirst="0" w:colLast="0"/>
      <w:bookmarkEnd w:id="8"/>
      <w:r>
        <w:t xml:space="preserve">REGLAS DE SUBSANABILIDAD, EXPLICACIONES Y ACLARACIONES </w:t>
      </w:r>
    </w:p>
    <w:p w:rsidR="00522688" w:rsidRDefault="00522688"/>
    <w:p w:rsidR="00522688" w:rsidRDefault="004E4FBB">
      <w:r>
        <w:t xml:space="preserve">El Proponente tiene la responsabilidad y deber de presentar su oferta en forma completa e íntegra, esto es, cumpliendo el contenido del Pliego de Condiciones y adjuntando los documentos de soporte o </w:t>
      </w:r>
      <w:r>
        <w:t xml:space="preserve">prueba de las condiciones que pretenda hacer valer en el proceso. </w:t>
      </w:r>
    </w:p>
    <w:p w:rsidR="00522688" w:rsidRDefault="00522688"/>
    <w:p w:rsidR="00522688" w:rsidRDefault="004E4FBB">
      <w:r>
        <w:t>En caso de ser necesario, la Entidad debe solicitar a los Proponentes durante el proceso de evaluación, y a más tardar en el informe de evaluación, las aclaraciones, precisiones o solicitu</w:t>
      </w:r>
      <w:r>
        <w:t>des de documentos que puedan ser subsanables. No obstante, los Proponentes no podrán completar, adicionar o mejorar sus propuestas en los aspectos que otorgan puntaje ni tampoco en los factores de desempate, los cuales podrán ser objeto de aclaraciones y e</w:t>
      </w:r>
      <w:r>
        <w:t>xplicaciones. Los Proponentes deberán allegar las aclaraciones o documentos requeridos en el momento en el que fueron solicitados y a más tardar hasta el término de traslado del informe de evaluación, es decir, hasta tres (3) días hábiles siguientes, conta</w:t>
      </w:r>
      <w:r>
        <w:t xml:space="preserve">dos a partir del siguiente día hábil a la publicación del informe de evaluación. </w:t>
      </w:r>
    </w:p>
    <w:p w:rsidR="00522688" w:rsidRDefault="00522688"/>
    <w:p w:rsidR="00522688" w:rsidRDefault="004E4FBB">
      <w:r>
        <w:t>En caso de que la Entidad no hubiese advertido durante el proceso de evaluación la ausencia de requisitos o la falta de documentos referentes a la futura contratación o al P</w:t>
      </w:r>
      <w:r>
        <w:t>roponente, ya sea en relación con los requisitos habilitantes o para aclarar aspectos que otorgan puntaje o relacionados con los factores de desempate, y por ende no los haya requerido, podrá hacerlo posteriormente, otorgándole al Proponente un término igu</w:t>
      </w:r>
      <w:r>
        <w:t xml:space="preserve">al al establecido para el traslado del informe de evaluación, con el fin de que los allegue. En caso de que sea necesario, la Entidad ajustará el Cronograma. Lo aquí descrito también aplicará cuando la observación a la oferta provenga de otro Proponente y </w:t>
      </w:r>
      <w:r>
        <w:t>se hubiere realizado en el traslado del informe de evaluación.</w:t>
      </w:r>
    </w:p>
    <w:p w:rsidR="00522688" w:rsidRDefault="00522688"/>
    <w:p w:rsidR="00522688" w:rsidRDefault="004E4FBB">
      <w:r>
        <w:t>En los procesos adelantados en el SECOP II se subsanarán por medio de mensajes, en la forma prevista en la plataforma.</w:t>
      </w:r>
    </w:p>
    <w:p w:rsidR="00522688" w:rsidRDefault="00522688"/>
    <w:p w:rsidR="00522688" w:rsidRDefault="004E4FBB">
      <w:r>
        <w:t>Todos aquellos requisitos de la oferta que afecten la asignación de punt</w:t>
      </w:r>
      <w:r>
        <w:t xml:space="preserve">aje, incluyendo los necesarios para acreditar requisitos de desempate, no son subsanables, por lo que los mismos deben ser aportados por los Proponentes desde la presentación de la oferta. </w:t>
      </w:r>
    </w:p>
    <w:p w:rsidR="00522688" w:rsidRDefault="00522688"/>
    <w:p w:rsidR="00522688" w:rsidRDefault="004E4FBB">
      <w:r>
        <w:t>En virtud del principio de buena fe, los Proponentes que presente</w:t>
      </w:r>
      <w:r>
        <w:t>n observaciones al proceso o a las ofertas y conductas de los demás oferentes deberán justificar y demostrar su procedencia.</w:t>
      </w:r>
    </w:p>
    <w:p w:rsidR="00522688" w:rsidRDefault="00522688"/>
    <w:p w:rsidR="00522688" w:rsidRDefault="004E4FBB">
      <w:pPr>
        <w:pStyle w:val="Ttulo2"/>
        <w:numPr>
          <w:ilvl w:val="1"/>
          <w:numId w:val="15"/>
        </w:numPr>
        <w:ind w:left="709" w:hanging="709"/>
      </w:pPr>
      <w:bookmarkStart w:id="9" w:name="_heading=h.4d34og8" w:colFirst="0" w:colLast="0"/>
      <w:bookmarkEnd w:id="9"/>
      <w:r>
        <w:t>CRONOGRAMA DEL PROCESO</w:t>
      </w:r>
    </w:p>
    <w:p w:rsidR="00522688" w:rsidRDefault="00522688"/>
    <w:p w:rsidR="00522688" w:rsidRDefault="004E4FBB">
      <w:r>
        <w:t>El Cronograma del Proceso de Contratación es el contenido en el “Anexo 2 – Cronograma”.</w:t>
      </w:r>
    </w:p>
    <w:p w:rsidR="00522688" w:rsidRDefault="00522688"/>
    <w:p w:rsidR="00522688" w:rsidRDefault="004E4FBB">
      <w:pPr>
        <w:pStyle w:val="Ttulo2"/>
        <w:numPr>
          <w:ilvl w:val="1"/>
          <w:numId w:val="15"/>
        </w:numPr>
        <w:ind w:left="709" w:hanging="709"/>
      </w:pPr>
      <w:bookmarkStart w:id="10" w:name="_heading=h.2s8eyo1" w:colFirst="0" w:colLast="0"/>
      <w:bookmarkEnd w:id="10"/>
      <w:r>
        <w:t>IDIOMA</w:t>
      </w:r>
    </w:p>
    <w:p w:rsidR="00522688" w:rsidRDefault="00522688"/>
    <w:p w:rsidR="00522688" w:rsidRDefault="004E4FBB">
      <w:r>
        <w:t>Los docum</w:t>
      </w:r>
      <w:r>
        <w:t xml:space="preserve">entos y las comunicaciones entregadas, enviadas o expedidas por los Proponentes o por terceros para efectos del Proceso de Contratación, o para ser tenidos en cuenta en el mismo, deben </w:t>
      </w:r>
      <w:r>
        <w:lastRenderedPageBreak/>
        <w:t>allegarse en español. Los documentos y comunicaciones en un idioma dist</w:t>
      </w:r>
      <w:r>
        <w:t>into deben presentarse en su lengua original junto con la traducción oficial al español.</w:t>
      </w:r>
    </w:p>
    <w:p w:rsidR="00522688" w:rsidRDefault="00522688"/>
    <w:p w:rsidR="00522688" w:rsidRDefault="004E4FBB">
      <w:r>
        <w:t>Para que la traducción oficial de los documentos en idioma extranjero sea válida, deberá realizarse en los términos del Decreto 382 de 1951 y el artículo 33 de la Ley</w:t>
      </w:r>
      <w:r>
        <w:t xml:space="preserve"> 962 de 2005, o las normas que los modifiquen, sustituyan o complementen. Es decir, junto con la traducción oficial se presentará el documento que certifique la aprobación de la prueba por parte del centro universitario que cuente con la facultad de idioma</w:t>
      </w:r>
      <w:r>
        <w:t>s debidamente acreditadas y reconocidas por el ICFES.</w:t>
      </w:r>
    </w:p>
    <w:p w:rsidR="00522688" w:rsidRDefault="00522688"/>
    <w:p w:rsidR="00522688" w:rsidRDefault="004E4FBB">
      <w:pPr>
        <w:pStyle w:val="Ttulo2"/>
        <w:numPr>
          <w:ilvl w:val="1"/>
          <w:numId w:val="15"/>
        </w:numPr>
        <w:ind w:left="709" w:hanging="709"/>
      </w:pPr>
      <w:bookmarkStart w:id="11" w:name="_heading=h.17dp8vu" w:colFirst="0" w:colLast="0"/>
      <w:bookmarkEnd w:id="11"/>
      <w:r>
        <w:t>DOCUMENTOS OTORGADOS EN EL EXTERIOR</w:t>
      </w:r>
    </w:p>
    <w:p w:rsidR="00522688" w:rsidRDefault="00522688"/>
    <w:p w:rsidR="00522688" w:rsidRDefault="004E4FBB">
      <w:r>
        <w:t>Los documentos públicos expedidos en el exterior por un país signatario de la Convención de La Haya de 1961, sobre la abolición del requisito de legalización, deben</w:t>
      </w:r>
      <w:r>
        <w:t xml:space="preserve"> apostillarse. En cambio, deben legalizarse los documentos públicos expedidos en el exterior por un país signatario de la Convención de Viena de 1963. Los documentos privados otorgados en el extranjero no requieren apostilla ni legalización, salvo los que </w:t>
      </w:r>
      <w:r>
        <w:t>con posterioridad sean intervenidos por un funcionario público, en cuyo caso requieren apostilla o legalización, en la forma antes indicada.</w:t>
      </w:r>
    </w:p>
    <w:p w:rsidR="00522688" w:rsidRDefault="00522688"/>
    <w:p w:rsidR="00522688" w:rsidRDefault="004E4FBB">
      <w:r>
        <w:t>Para el trámite de apostilla o legalización de documentos otorgados en el exterior y la acreditación de la formación académica obtenida en el exterior, las Entidades aplicarán los parámetros establecidos en las normas que regulen la materia, en especial la</w:t>
      </w:r>
      <w:r>
        <w:t xml:space="preserve"> Resolución No. 1959 de 2020 del Ministerio de Relaciones Exteriores, o la norma que la modifique, sustituya o complemente.</w:t>
      </w:r>
    </w:p>
    <w:p w:rsidR="00522688" w:rsidRDefault="00522688"/>
    <w:p w:rsidR="00522688" w:rsidRDefault="004E4FBB">
      <w:pPr>
        <w:pStyle w:val="Ttulo2"/>
        <w:numPr>
          <w:ilvl w:val="1"/>
          <w:numId w:val="15"/>
        </w:numPr>
        <w:ind w:left="709" w:hanging="709"/>
      </w:pPr>
      <w:bookmarkStart w:id="12" w:name="_heading=h.3rdcrjn" w:colFirst="0" w:colLast="0"/>
      <w:bookmarkEnd w:id="12"/>
      <w:r>
        <w:t>GLOSARIO</w:t>
      </w:r>
    </w:p>
    <w:p w:rsidR="00522688" w:rsidRDefault="00522688"/>
    <w:p w:rsidR="00522688" w:rsidRDefault="004E4FBB">
      <w:r>
        <w:t>Para los fines de este Pliego de Condiciones, a menos que expresamente se disponga lo contrario, los términos deben enten</w:t>
      </w:r>
      <w:r>
        <w:t>derse de acuerdo con las definiciones contenidas en el artículo 2.2.1.1.1.3.1 del Decreto 1082 de 2015, y el “Anexo 3 – Glosario”. Los términos no definidos deben entenderse de conformidad con su significado natural y en el contexto del proyecto de consult</w:t>
      </w:r>
      <w:r>
        <w:t>oría adelantado.</w:t>
      </w:r>
    </w:p>
    <w:p w:rsidR="00522688" w:rsidRDefault="00522688"/>
    <w:p w:rsidR="00522688" w:rsidRDefault="004E4FBB">
      <w:pPr>
        <w:pStyle w:val="Ttulo2"/>
        <w:numPr>
          <w:ilvl w:val="1"/>
          <w:numId w:val="15"/>
        </w:numPr>
        <w:ind w:left="709" w:hanging="709"/>
      </w:pPr>
      <w:bookmarkStart w:id="13" w:name="_heading=h.26in1rg" w:colFirst="0" w:colLast="0"/>
      <w:bookmarkEnd w:id="13"/>
      <w:r>
        <w:t>INFORMACIÓN INEXACTA</w:t>
      </w:r>
    </w:p>
    <w:p w:rsidR="00522688" w:rsidRDefault="00522688"/>
    <w:p w:rsidR="00522688" w:rsidRDefault="004E4FBB">
      <w:r>
        <w:t xml:space="preserve">La Entidad se reserva el derecho de verificar integralmente la información aportada por el Proponente. Para esto, se puede acudir a las autoridades, personas, empresas o instituciones respectivas. </w:t>
      </w:r>
    </w:p>
    <w:p w:rsidR="00522688" w:rsidRDefault="00522688"/>
    <w:p w:rsidR="00522688" w:rsidRDefault="004E4FBB">
      <w:r>
        <w:t xml:space="preserve">Cuando exista inconsistencia entre la información suministrada por el Proponente y la verificada por la Entidad, la información que se pretende demostrar se entenderá como no acreditada. </w:t>
      </w:r>
    </w:p>
    <w:p w:rsidR="00522688" w:rsidRDefault="00522688"/>
    <w:p w:rsidR="00522688" w:rsidRDefault="004E4FBB">
      <w:r>
        <w:t xml:space="preserve">La Entidad remitirá copias a las autoridades competentes cuando la </w:t>
      </w:r>
      <w:r>
        <w:t>información aportada tenga inconsistencias sobre las cuales pueda existir una posible falsedad, sin que el Proponente haya demostrado lo contrario, y rechazará la oferta.</w:t>
      </w:r>
    </w:p>
    <w:p w:rsidR="00522688" w:rsidRDefault="00522688"/>
    <w:p w:rsidR="00522688" w:rsidRDefault="004E4FBB">
      <w:pPr>
        <w:pStyle w:val="Ttulo2"/>
        <w:numPr>
          <w:ilvl w:val="1"/>
          <w:numId w:val="15"/>
        </w:numPr>
        <w:ind w:left="709" w:hanging="709"/>
      </w:pPr>
      <w:bookmarkStart w:id="14" w:name="_heading=h.lnxbz9" w:colFirst="0" w:colLast="0"/>
      <w:bookmarkEnd w:id="14"/>
      <w:r>
        <w:t>INFORMACIÓN RESERVADA</w:t>
      </w:r>
    </w:p>
    <w:p w:rsidR="00522688" w:rsidRDefault="00522688"/>
    <w:p w:rsidR="00522688" w:rsidRDefault="004E4FBB">
      <w:r>
        <w:t xml:space="preserve">Si la propuesta incluye información que, conforme con la ley </w:t>
      </w:r>
      <w:r>
        <w:t xml:space="preserve">colombiana, tiene carácter de reservada, el Proponente debe manifestar esta circunstancia con absoluta claridad y precisión en el “Formato 1 – Carta de presentación de la oferta”, identificando el documento o información que considera que goza de reserva, </w:t>
      </w:r>
      <w:r>
        <w:t>citando expresamente la disposición legal que la ampara. Sin perjuicio de lo anterior, para evaluar las propuestas, la Entidad se reserva el derecho de enseñar esta información a sus funcionarios, empleados, contratistas, agentes o asesores.</w:t>
      </w:r>
    </w:p>
    <w:p w:rsidR="00522688" w:rsidRDefault="00522688"/>
    <w:p w:rsidR="00522688" w:rsidRDefault="004E4FBB">
      <w:r>
        <w:lastRenderedPageBreak/>
        <w:t>En todo caso,</w:t>
      </w:r>
      <w:r>
        <w:t xml:space="preserve"> la Entidad, sus funcionarios, sus empleados, contratistas, agentes y asesores están obligados a mantener la reserva de la información que, por disposición legal, tenga dicha calidad y que haya sido identificada por el Proponente. </w:t>
      </w:r>
    </w:p>
    <w:p w:rsidR="00522688" w:rsidRDefault="00522688"/>
    <w:p w:rsidR="00522688" w:rsidRDefault="004E4FBB">
      <w:pPr>
        <w:pStyle w:val="Ttulo2"/>
        <w:numPr>
          <w:ilvl w:val="1"/>
          <w:numId w:val="15"/>
        </w:numPr>
        <w:ind w:left="709" w:hanging="709"/>
      </w:pPr>
      <w:bookmarkStart w:id="15" w:name="_heading=h.35nkun2" w:colFirst="0" w:colLast="0"/>
      <w:bookmarkEnd w:id="15"/>
      <w:r>
        <w:t>MONEDA</w:t>
      </w:r>
    </w:p>
    <w:p w:rsidR="00522688" w:rsidRDefault="00522688"/>
    <w:p w:rsidR="00522688" w:rsidRDefault="004E4FBB">
      <w:pPr>
        <w:numPr>
          <w:ilvl w:val="0"/>
          <w:numId w:val="16"/>
        </w:numPr>
        <w:pBdr>
          <w:top w:val="nil"/>
          <w:left w:val="nil"/>
          <w:bottom w:val="nil"/>
          <w:right w:val="nil"/>
          <w:between w:val="nil"/>
        </w:pBdr>
        <w:ind w:left="426" w:hanging="426"/>
        <w:rPr>
          <w:b/>
          <w:i/>
          <w:color w:val="000000"/>
        </w:rPr>
      </w:pPr>
      <w:r>
        <w:rPr>
          <w:b/>
          <w:i/>
          <w:color w:val="000000"/>
        </w:rPr>
        <w:t>Monedas Extranjeras</w:t>
      </w:r>
    </w:p>
    <w:p w:rsidR="00522688" w:rsidRDefault="00522688"/>
    <w:p w:rsidR="00522688" w:rsidRDefault="004E4FBB">
      <w:r>
        <w:t>Los valores de los documentos aportados en la propuesta deben presentarse en Pesos Colombianos. Cuando un valor se exprese en moneda extranjera debe convertirse a Pesos Colombianos, teniendo en cuenta lo siguiente:</w:t>
      </w:r>
    </w:p>
    <w:p w:rsidR="00522688" w:rsidRDefault="00522688"/>
    <w:p w:rsidR="00522688" w:rsidRDefault="004E4FBB">
      <w:pPr>
        <w:numPr>
          <w:ilvl w:val="0"/>
          <w:numId w:val="1"/>
        </w:numPr>
        <w:pBdr>
          <w:top w:val="nil"/>
          <w:left w:val="nil"/>
          <w:bottom w:val="nil"/>
          <w:right w:val="nil"/>
          <w:between w:val="nil"/>
        </w:pBdr>
        <w:ind w:left="709" w:hanging="425"/>
        <w:rPr>
          <w:color w:val="000000"/>
        </w:rPr>
      </w:pPr>
      <w:r>
        <w:rPr>
          <w:color w:val="000000"/>
        </w:rPr>
        <w:t>Si los valores de u</w:t>
      </w:r>
      <w:r>
        <w:rPr>
          <w:color w:val="000000"/>
        </w:rPr>
        <w:t>n Contrato están expresados originalmente en Dólares de los Estados Unidos de América, los valores se convertirán a Pesos Colombianos, utilizando el valor correspondiente al promedio entre la TRM de la fecha de inicio del Contrato y la TRM de la fecha de t</w:t>
      </w:r>
      <w:r>
        <w:rPr>
          <w:color w:val="000000"/>
        </w:rPr>
        <w:t>erminación del mismo. Para esto, el Proponente deberá indicar la tasa representativa del mercado utilizada para la conversión de cada Contrato en el “Formato 3 – Experiencia”. La TRM utilizada será la certificada por la Superintendencia Financiera de Colom</w:t>
      </w:r>
      <w:r>
        <w:rPr>
          <w:color w:val="000000"/>
        </w:rPr>
        <w:t xml:space="preserve">bia. </w:t>
      </w:r>
    </w:p>
    <w:p w:rsidR="00522688" w:rsidRDefault="00522688"/>
    <w:p w:rsidR="00522688" w:rsidRDefault="004E4FBB">
      <w:pPr>
        <w:numPr>
          <w:ilvl w:val="0"/>
          <w:numId w:val="1"/>
        </w:numPr>
        <w:pBdr>
          <w:top w:val="nil"/>
          <w:left w:val="nil"/>
          <w:bottom w:val="nil"/>
          <w:right w:val="nil"/>
          <w:between w:val="nil"/>
        </w:pBdr>
        <w:ind w:left="709" w:hanging="425"/>
        <w:rPr>
          <w:color w:val="000000"/>
        </w:rPr>
      </w:pPr>
      <w:r>
        <w:rPr>
          <w:color w:val="000000"/>
        </w:rPr>
        <w:t>Si los valores del Contrato están expresados originalmente en una moneda diferente a Dólares de los Estados Unidos de América, éstos deberán convertirse inicialmente a esta moneda, utilizando para ello el valor correspondiente al promedio entre la t</w:t>
      </w:r>
      <w:r>
        <w:rPr>
          <w:color w:val="000000"/>
        </w:rPr>
        <w:t xml:space="preserve">asa de cambio de la fecha de inicio del Contrato y la tasa de cambio de la fecha de terminación del mismo. Para tales efectos, puede utilizar la información certificada por el Banco de la República. Para el cálculo se recomienda acudir al siguiente link: </w:t>
      </w:r>
      <w:hyperlink r:id="rId12">
        <w:r>
          <w:rPr>
            <w:color w:val="0563C1"/>
            <w:u w:val="single"/>
          </w:rPr>
          <w:t>https://www.oanda.com/lang/es/currency/converter/</w:t>
        </w:r>
      </w:hyperlink>
      <w:r>
        <w:rPr>
          <w:color w:val="000000"/>
        </w:rPr>
        <w:t xml:space="preserve"> Hecho esto, se procederá en la forma señalada en el numeral anterior. </w:t>
      </w:r>
    </w:p>
    <w:p w:rsidR="00522688" w:rsidRDefault="00522688"/>
    <w:p w:rsidR="00522688" w:rsidRDefault="004E4FBB">
      <w:pPr>
        <w:numPr>
          <w:ilvl w:val="0"/>
          <w:numId w:val="1"/>
        </w:numPr>
        <w:pBdr>
          <w:top w:val="nil"/>
          <w:left w:val="nil"/>
          <w:bottom w:val="nil"/>
          <w:right w:val="nil"/>
          <w:between w:val="nil"/>
        </w:pBdr>
        <w:ind w:left="709" w:hanging="425"/>
        <w:rPr>
          <w:color w:val="000000"/>
        </w:rPr>
      </w:pPr>
      <w:r>
        <w:rPr>
          <w:color w:val="000000"/>
        </w:rPr>
        <w:t>Si los valores de los estados financieros están expresados origina</w:t>
      </w:r>
      <w:r>
        <w:rPr>
          <w:color w:val="000000"/>
        </w:rPr>
        <w:t>lmente en Dólares de los Estados Unidos de América, el Proponente y la Entidad tendrán en cuenta la tasa representativa del mercado vigente certificada por la Superintendencia Financiera de Colombia de la fecha de expedición de los estados financieros.</w:t>
      </w:r>
    </w:p>
    <w:p w:rsidR="00522688" w:rsidRDefault="00522688">
      <w:pPr>
        <w:pBdr>
          <w:top w:val="nil"/>
          <w:left w:val="nil"/>
          <w:bottom w:val="nil"/>
          <w:right w:val="nil"/>
          <w:between w:val="nil"/>
        </w:pBdr>
        <w:ind w:left="567"/>
        <w:rPr>
          <w:color w:val="000000"/>
        </w:rPr>
      </w:pPr>
    </w:p>
    <w:p w:rsidR="00522688" w:rsidRDefault="004E4FBB">
      <w:pPr>
        <w:numPr>
          <w:ilvl w:val="0"/>
          <w:numId w:val="1"/>
        </w:numPr>
        <w:pBdr>
          <w:top w:val="nil"/>
          <w:left w:val="nil"/>
          <w:bottom w:val="nil"/>
          <w:right w:val="nil"/>
          <w:between w:val="nil"/>
        </w:pBdr>
        <w:ind w:left="709" w:hanging="425"/>
        <w:rPr>
          <w:color w:val="000000"/>
        </w:rPr>
      </w:pPr>
      <w:r>
        <w:rPr>
          <w:color w:val="000000"/>
        </w:rPr>
        <w:t>Si los valores de los estados financieros están expresados originalmente en una moneda diferente a Dólares de los Estados Unidos de América, éstos deberán convertirse inicialmente a Dólares de los Estados Unidos de América utilizando para ello el valor cor</w:t>
      </w:r>
      <w:r>
        <w:rPr>
          <w:color w:val="000000"/>
        </w:rPr>
        <w:t xml:space="preserve">respondiente a la fecha de expedición de los estados financieros. Para verificar la tasa de cambio entre la moneda y el Dólar de los Estados Unidos de América, el Proponente podrá utilizar la página web </w:t>
      </w:r>
      <w:hyperlink r:id="rId13">
        <w:r>
          <w:rPr>
            <w:color w:val="0563C1"/>
            <w:u w:val="single"/>
          </w:rPr>
          <w:t>https://www.oanda.com/lang/es/currency/converter/</w:t>
        </w:r>
      </w:hyperlink>
      <w:r>
        <w:rPr>
          <w:color w:val="000000"/>
        </w:rPr>
        <w:t xml:space="preserve">. Hecho esto se procederá en la forma señalada en el numeral III. </w:t>
      </w:r>
    </w:p>
    <w:p w:rsidR="00522688" w:rsidRDefault="00522688"/>
    <w:p w:rsidR="00522688" w:rsidRDefault="004E4FBB">
      <w:pPr>
        <w:numPr>
          <w:ilvl w:val="0"/>
          <w:numId w:val="16"/>
        </w:numPr>
        <w:pBdr>
          <w:top w:val="nil"/>
          <w:left w:val="nil"/>
          <w:bottom w:val="nil"/>
          <w:right w:val="nil"/>
          <w:between w:val="nil"/>
        </w:pBdr>
        <w:ind w:left="426" w:hanging="426"/>
        <w:rPr>
          <w:b/>
          <w:i/>
          <w:color w:val="000000"/>
        </w:rPr>
      </w:pPr>
      <w:r>
        <w:rPr>
          <w:b/>
          <w:i/>
          <w:color w:val="000000"/>
        </w:rPr>
        <w:t>Conversión a Salarios Mínimos Mensuales Legales Vigentes (SMMLV):</w:t>
      </w:r>
    </w:p>
    <w:p w:rsidR="00522688" w:rsidRDefault="00522688"/>
    <w:p w:rsidR="00522688" w:rsidRDefault="004E4FBB">
      <w:r>
        <w:t>Cuando los documentos del Proceso de Contratación señale</w:t>
      </w:r>
      <w:r>
        <w:t xml:space="preserve">n que un valor debe expresarse en Salarios Mínimos Mensuales Legales Vigentes (SMMLV) se seguirá el siguiente proceso: </w:t>
      </w:r>
    </w:p>
    <w:p w:rsidR="00522688" w:rsidRDefault="00522688"/>
    <w:p w:rsidR="00522688" w:rsidRDefault="004E4FBB">
      <w:pPr>
        <w:numPr>
          <w:ilvl w:val="0"/>
          <w:numId w:val="2"/>
        </w:numPr>
        <w:pBdr>
          <w:top w:val="nil"/>
          <w:left w:val="nil"/>
          <w:bottom w:val="nil"/>
          <w:right w:val="nil"/>
          <w:between w:val="nil"/>
        </w:pBdr>
        <w:ind w:left="709" w:hanging="349"/>
        <w:rPr>
          <w:color w:val="000000"/>
        </w:rPr>
      </w:pPr>
      <w:r>
        <w:rPr>
          <w:color w:val="000000"/>
        </w:rPr>
        <w:t>Los valores convertidos a Pesos Colombianos, aplicando el procedimiento descrito en el literal anterior, o cuya moneda de origen sea el</w:t>
      </w:r>
      <w:r>
        <w:rPr>
          <w:color w:val="000000"/>
        </w:rPr>
        <w:t xml:space="preserve"> Peso Colombiano deben convertirse a SMMLV, para lo cual emplearán los valores históricos del SMMLV señalados por el Banco de la República (</w:t>
      </w:r>
      <w:hyperlink r:id="rId14">
        <w:r>
          <w:rPr>
            <w:color w:val="0563C1"/>
            <w:u w:val="single"/>
          </w:rPr>
          <w:t>http://www.banrep.gov.co/es/mercado-laboral/salarios</w:t>
        </w:r>
      </w:hyperlink>
      <w:r>
        <w:rPr>
          <w:color w:val="000000"/>
        </w:rPr>
        <w:t>), del año correspondiente a la fecha de terminación del Contrato.</w:t>
      </w:r>
    </w:p>
    <w:p w:rsidR="00522688" w:rsidRDefault="00522688"/>
    <w:p w:rsidR="00522688" w:rsidRDefault="004E4FBB">
      <w:pPr>
        <w:numPr>
          <w:ilvl w:val="0"/>
          <w:numId w:val="2"/>
        </w:numPr>
        <w:pBdr>
          <w:top w:val="nil"/>
          <w:left w:val="nil"/>
          <w:bottom w:val="nil"/>
          <w:right w:val="nil"/>
          <w:between w:val="nil"/>
        </w:pBdr>
        <w:ind w:left="709" w:hanging="349"/>
        <w:rPr>
          <w:color w:val="000000"/>
        </w:rPr>
      </w:pPr>
      <w:r>
        <w:rPr>
          <w:color w:val="000000"/>
        </w:rPr>
        <w:t>Los valores convertidos a SMMLV deben ajustarse a la unidad más próxima de la siguiente forma: hacia arriba para valores mayores o igual</w:t>
      </w:r>
      <w:r>
        <w:rPr>
          <w:color w:val="000000"/>
        </w:rPr>
        <w:t>es a cero punto cinco (0.5) y hacia abajo para valores menores a cero punto cinco (0.5).</w:t>
      </w:r>
    </w:p>
    <w:p w:rsidR="00522688" w:rsidRDefault="00522688"/>
    <w:p w:rsidR="00522688" w:rsidRDefault="004E4FBB">
      <w:r>
        <w:t xml:space="preserve">Si el Proponente aporta certificaciones que no indican el día, sino solamente el mes y el año se procederá así: </w:t>
      </w:r>
    </w:p>
    <w:p w:rsidR="00522688" w:rsidRDefault="00522688"/>
    <w:p w:rsidR="00522688" w:rsidRDefault="004E4FBB">
      <w:r>
        <w:t xml:space="preserve">Fecha (mes, año) de suscripción y/o inicio del Contrato: se tendrá en cuenta el último día del mes señalado en la certificación. </w:t>
      </w:r>
    </w:p>
    <w:p w:rsidR="00522688" w:rsidRDefault="00522688"/>
    <w:p w:rsidR="00522688" w:rsidRDefault="004E4FBB">
      <w:r>
        <w:t>Fecha (mes, año) de terminación del Contrato: se tendrá en cuenta el primer día del mes señalado en la certificación.</w:t>
      </w:r>
    </w:p>
    <w:p w:rsidR="00522688" w:rsidRDefault="00522688"/>
    <w:p w:rsidR="00522688" w:rsidRDefault="004E4FBB">
      <w:pPr>
        <w:pStyle w:val="Ttulo2"/>
        <w:numPr>
          <w:ilvl w:val="1"/>
          <w:numId w:val="15"/>
        </w:numPr>
        <w:ind w:left="709" w:hanging="709"/>
      </w:pPr>
      <w:bookmarkStart w:id="16" w:name="_heading=h.1ksv4uv" w:colFirst="0" w:colLast="0"/>
      <w:bookmarkEnd w:id="16"/>
      <w:r>
        <w:t>CONFLI</w:t>
      </w:r>
      <w:r>
        <w:t>CTO DE INTERÉS DE ORIGEN CONSTITUCIONAL O LEGAL</w:t>
      </w:r>
    </w:p>
    <w:p w:rsidR="00522688" w:rsidRDefault="00522688"/>
    <w:p w:rsidR="00522688" w:rsidRDefault="004E4FBB">
      <w:r>
        <w:t>No podrán participar en el Proceso de Contratación y, por tanto, no serán objeto de evaluación, ni podrán ser adjudicatarios, quienes bajo cualquier circunstancia se encuentren en situaciones de Conflicto de</w:t>
      </w:r>
      <w:r>
        <w:t xml:space="preserve"> Interés que afecten o pongan en riesgo los principios de la Contratación Pública, de acuerdo con las causales o circunstancias previstas en la Constitución o la ley.</w:t>
      </w:r>
    </w:p>
    <w:p w:rsidR="00522688" w:rsidRDefault="00522688"/>
    <w:p w:rsidR="00522688" w:rsidRDefault="004E4FBB">
      <w:r>
        <w:t>Tampoco podrán participar quienes hayan intervenido directa o indirectamente en la elabo</w:t>
      </w:r>
      <w:r>
        <w:t>ración de los estudios previos y del sector, ni en la estructuración, en cualquiera de sus etapas del presente proceso de contratación, ni quienes hayan trabajado como asesores o consultores para la elaboración de estos en los últimos dos años contados has</w:t>
      </w:r>
      <w:r>
        <w:t>ta la fecha de expedición del acto de apertura del presente proceso de contratación, ya sea en calidad de Funcionarios Públicos o Contratistas.</w:t>
      </w:r>
    </w:p>
    <w:p w:rsidR="00522688" w:rsidRDefault="00522688"/>
    <w:p w:rsidR="00522688" w:rsidRDefault="004E4FBB">
      <w:pPr>
        <w:pStyle w:val="Ttulo2"/>
        <w:numPr>
          <w:ilvl w:val="1"/>
          <w:numId w:val="15"/>
        </w:numPr>
        <w:ind w:left="709" w:hanging="709"/>
      </w:pPr>
      <w:bookmarkStart w:id="17" w:name="_heading=h.44sinio" w:colFirst="0" w:colLast="0"/>
      <w:bookmarkEnd w:id="17"/>
      <w:r>
        <w:t>CAUSALES DE RECHAZO</w:t>
      </w:r>
    </w:p>
    <w:p w:rsidR="00522688" w:rsidRDefault="00522688"/>
    <w:p w:rsidR="00522688" w:rsidRDefault="004E4FBB">
      <w:r>
        <w:t>Son causales de rechazo de las propuestas las siguientes: [Las Entidades no podrán incorpo</w:t>
      </w:r>
      <w:r>
        <w:t>rar causales de rechazo distintas a las incluidas en la presente sección]</w:t>
      </w:r>
    </w:p>
    <w:p w:rsidR="00522688" w:rsidRDefault="00522688"/>
    <w:p w:rsidR="00522688" w:rsidRDefault="004E4FBB">
      <w:pPr>
        <w:numPr>
          <w:ilvl w:val="0"/>
          <w:numId w:val="4"/>
        </w:numPr>
        <w:pBdr>
          <w:top w:val="nil"/>
          <w:left w:val="nil"/>
          <w:bottom w:val="nil"/>
          <w:right w:val="nil"/>
          <w:between w:val="nil"/>
        </w:pBdr>
        <w:rPr>
          <w:color w:val="000000"/>
        </w:rPr>
      </w:pPr>
      <w:r>
        <w:rPr>
          <w:color w:val="000000"/>
        </w:rPr>
        <w:t>Que el Proponente o alguno de los integrantes del Proponente Plural esté incurso en causal de inhabilidad, incompatibilidad o prohibiciones previstas en la legislación para contrata</w:t>
      </w:r>
      <w:r>
        <w:rPr>
          <w:color w:val="000000"/>
        </w:rPr>
        <w:t>r.</w:t>
      </w:r>
    </w:p>
    <w:p w:rsidR="00522688" w:rsidRDefault="004E4FBB">
      <w:pPr>
        <w:pBdr>
          <w:top w:val="nil"/>
          <w:left w:val="nil"/>
          <w:bottom w:val="nil"/>
          <w:right w:val="nil"/>
          <w:between w:val="nil"/>
        </w:pBdr>
        <w:ind w:left="720"/>
        <w:rPr>
          <w:color w:val="000000"/>
        </w:rPr>
      </w:pPr>
      <w:r>
        <w:rPr>
          <w:color w:val="000000"/>
        </w:rPr>
        <w:t>Cuando en un mismo proceso de contratación se encuentren oferentes en la situación descrita por los literales g) y h) del numeral 1 del artículo 8 de la Ley 80 de 1993, la Entidad solo admitirá la primera oferta presentada en el tiempo</w:t>
      </w:r>
    </w:p>
    <w:p w:rsidR="00522688" w:rsidRDefault="004E4FBB">
      <w:pPr>
        <w:numPr>
          <w:ilvl w:val="0"/>
          <w:numId w:val="4"/>
        </w:numPr>
        <w:pBdr>
          <w:top w:val="nil"/>
          <w:left w:val="nil"/>
          <w:bottom w:val="nil"/>
          <w:right w:val="nil"/>
          <w:between w:val="nil"/>
        </w:pBdr>
        <w:rPr>
          <w:color w:val="000000"/>
        </w:rPr>
      </w:pPr>
      <w:r>
        <w:rPr>
          <w:color w:val="000000"/>
        </w:rPr>
        <w:t>Cuando una misma persona natural o jurídica, o integrante de un Proponente Plural presente o haga parte en más de una propuesta para el Proceso de Contratación.</w:t>
      </w:r>
    </w:p>
    <w:p w:rsidR="00522688" w:rsidRDefault="004E4FBB">
      <w:pPr>
        <w:pBdr>
          <w:top w:val="nil"/>
          <w:left w:val="nil"/>
          <w:bottom w:val="nil"/>
          <w:right w:val="nil"/>
          <w:between w:val="nil"/>
        </w:pBdr>
        <w:ind w:left="720"/>
        <w:rPr>
          <w:color w:val="000000"/>
        </w:rPr>
      </w:pPr>
      <w:r>
        <w:rPr>
          <w:color w:val="000000"/>
          <w:highlight w:val="yellow"/>
        </w:rPr>
        <w:t xml:space="preserve">[Cuando el proceso se estructure por lotes o por grupos incluir el siguiente texto: Cuando una </w:t>
      </w:r>
      <w:r>
        <w:rPr>
          <w:color w:val="000000"/>
          <w:highlight w:val="yellow"/>
        </w:rPr>
        <w:t>misma persona natural o jurídica, o integrante de un Proponente plural presente o haga parte en más de una propuesta para el mismo lote o grupo de este Proceso de Contratación].</w:t>
      </w:r>
      <w:r>
        <w:rPr>
          <w:color w:val="000000"/>
        </w:rPr>
        <w:t xml:space="preserve"> </w:t>
      </w:r>
    </w:p>
    <w:p w:rsidR="00522688" w:rsidRDefault="004E4FBB">
      <w:pPr>
        <w:numPr>
          <w:ilvl w:val="0"/>
          <w:numId w:val="4"/>
        </w:numPr>
        <w:pBdr>
          <w:top w:val="nil"/>
          <w:left w:val="nil"/>
          <w:bottom w:val="nil"/>
          <w:right w:val="nil"/>
          <w:between w:val="nil"/>
        </w:pBdr>
        <w:rPr>
          <w:color w:val="000000"/>
        </w:rPr>
      </w:pPr>
      <w:r>
        <w:rPr>
          <w:color w:val="000000"/>
        </w:rPr>
        <w:t>Que la persona jurídica Proponente Individual o integrante del Proponente Plu</w:t>
      </w:r>
      <w:r>
        <w:rPr>
          <w:color w:val="000000"/>
        </w:rPr>
        <w:t>ral esté incursa en la situación descrita en el numeral 1 del artículo 38 de la Ley 1116 de 2006.</w:t>
      </w:r>
    </w:p>
    <w:p w:rsidR="00522688" w:rsidRDefault="004E4FBB">
      <w:pPr>
        <w:numPr>
          <w:ilvl w:val="0"/>
          <w:numId w:val="4"/>
        </w:numPr>
        <w:pBdr>
          <w:top w:val="nil"/>
          <w:left w:val="nil"/>
          <w:bottom w:val="nil"/>
          <w:right w:val="nil"/>
          <w:between w:val="nil"/>
        </w:pBdr>
        <w:rPr>
          <w:color w:val="000000"/>
        </w:rPr>
      </w:pPr>
      <w:r>
        <w:rPr>
          <w:color w:val="000000"/>
        </w:rPr>
        <w:t>Cuando al Proponente se le haya requerido con el propósito de subsanar o aclarar o aportar un documento de la propuesta y no lo efectúe dentro del plazo indic</w:t>
      </w:r>
      <w:r>
        <w:rPr>
          <w:color w:val="000000"/>
        </w:rPr>
        <w:t>ado o no lo realice correctamente o de acuerdo con lo solicitado, siempre que la subsanación, aclaración o aporte requerido sea necesario para cumplir un requisito habilitante en los términos establecidos en la sección 1.6.</w:t>
      </w:r>
    </w:p>
    <w:p w:rsidR="00522688" w:rsidRDefault="004E4FBB">
      <w:pPr>
        <w:numPr>
          <w:ilvl w:val="0"/>
          <w:numId w:val="4"/>
        </w:numPr>
        <w:pBdr>
          <w:top w:val="nil"/>
          <w:left w:val="nil"/>
          <w:bottom w:val="nil"/>
          <w:right w:val="nil"/>
          <w:between w:val="nil"/>
        </w:pBdr>
        <w:rPr>
          <w:color w:val="000000"/>
        </w:rPr>
      </w:pPr>
      <w:r>
        <w:rPr>
          <w:color w:val="000000"/>
        </w:rPr>
        <w:t>Que la inscripción en el Registr</w:t>
      </w:r>
      <w:r>
        <w:rPr>
          <w:color w:val="000000"/>
        </w:rPr>
        <w:t>o Único de Proponentes (RUP) que realice el Proponente por primera vez o cuando han cesado los efectos y debe volver a inscribirse, no esté en firme en la fecha prevista para el cierre del Proceso de Contratación.</w:t>
      </w:r>
    </w:p>
    <w:p w:rsidR="00522688" w:rsidRDefault="004E4FBB">
      <w:pPr>
        <w:numPr>
          <w:ilvl w:val="0"/>
          <w:numId w:val="4"/>
        </w:numPr>
        <w:pBdr>
          <w:top w:val="nil"/>
          <w:left w:val="nil"/>
          <w:bottom w:val="nil"/>
          <w:right w:val="nil"/>
          <w:between w:val="nil"/>
        </w:pBdr>
        <w:rPr>
          <w:color w:val="000000"/>
        </w:rPr>
      </w:pPr>
      <w:r>
        <w:rPr>
          <w:color w:val="000000"/>
        </w:rPr>
        <w:lastRenderedPageBreak/>
        <w:t>Que el Proponente no acredite la presentac</w:t>
      </w:r>
      <w:r>
        <w:rPr>
          <w:color w:val="000000"/>
        </w:rPr>
        <w:t>ión de la información para renovar el Registro Único de Proponentes (RUP) dentro del término previsto en la normativa vigente.</w:t>
      </w:r>
    </w:p>
    <w:p w:rsidR="00522688" w:rsidRDefault="004E4FBB">
      <w:pPr>
        <w:numPr>
          <w:ilvl w:val="0"/>
          <w:numId w:val="4"/>
        </w:numPr>
        <w:pBdr>
          <w:top w:val="nil"/>
          <w:left w:val="nil"/>
          <w:bottom w:val="nil"/>
          <w:right w:val="nil"/>
          <w:between w:val="nil"/>
        </w:pBdr>
        <w:rPr>
          <w:color w:val="000000"/>
        </w:rPr>
      </w:pPr>
      <w:r>
        <w:rPr>
          <w:color w:val="000000"/>
        </w:rPr>
        <w:t>Que el Proponente aporte información inexacta sobre la cual pueda existir una posible falsedad en los términos de la sección 1.11</w:t>
      </w:r>
      <w:r>
        <w:rPr>
          <w:color w:val="000000"/>
        </w:rPr>
        <w:t>.</w:t>
      </w:r>
    </w:p>
    <w:p w:rsidR="00522688" w:rsidRDefault="004E4FBB">
      <w:pPr>
        <w:numPr>
          <w:ilvl w:val="0"/>
          <w:numId w:val="4"/>
        </w:numPr>
        <w:pBdr>
          <w:top w:val="nil"/>
          <w:left w:val="nil"/>
          <w:bottom w:val="nil"/>
          <w:right w:val="nil"/>
          <w:between w:val="nil"/>
        </w:pBdr>
        <w:rPr>
          <w:color w:val="000000"/>
        </w:rPr>
      </w:pPr>
      <w:r>
        <w:rPr>
          <w:color w:val="000000"/>
        </w:rPr>
        <w:t>No entregar la garantía de seriedad de la oferta junto con la propuesta.</w:t>
      </w:r>
    </w:p>
    <w:p w:rsidR="00522688" w:rsidRDefault="004E4FBB">
      <w:pPr>
        <w:numPr>
          <w:ilvl w:val="0"/>
          <w:numId w:val="4"/>
        </w:numPr>
        <w:pBdr>
          <w:top w:val="nil"/>
          <w:left w:val="nil"/>
          <w:bottom w:val="nil"/>
          <w:right w:val="nil"/>
          <w:between w:val="nil"/>
        </w:pBdr>
        <w:rPr>
          <w:color w:val="000000"/>
        </w:rPr>
      </w:pPr>
      <w:r>
        <w:rPr>
          <w:color w:val="000000"/>
        </w:rPr>
        <w:t>Que el objeto social del Proponente, en caso de ser persona jurídica, o el de sus integrantes, tratándose de Proponentes Plurales, no le permita ejecutar el objeto del Contrato.</w:t>
      </w:r>
    </w:p>
    <w:p w:rsidR="00522688" w:rsidRDefault="004E4FBB">
      <w:pPr>
        <w:numPr>
          <w:ilvl w:val="0"/>
          <w:numId w:val="4"/>
        </w:numPr>
        <w:pBdr>
          <w:top w:val="nil"/>
          <w:left w:val="nil"/>
          <w:bottom w:val="nil"/>
          <w:right w:val="nil"/>
          <w:between w:val="nil"/>
        </w:pBdr>
        <w:rPr>
          <w:color w:val="000000"/>
        </w:rPr>
      </w:pPr>
      <w:r>
        <w:rPr>
          <w:color w:val="000000"/>
        </w:rPr>
        <w:t>Que</w:t>
      </w:r>
      <w:r>
        <w:rPr>
          <w:color w:val="000000"/>
        </w:rPr>
        <w:t xml:space="preserve"> el valor total de la oferta exceda el Presupuesto Oficial estimado para el Proceso de Contratación </w:t>
      </w:r>
      <w:r>
        <w:rPr>
          <w:color w:val="000000"/>
          <w:highlight w:val="lightGray"/>
        </w:rPr>
        <w:t>[o para el lote o grupo frente al que presentó oferta]</w:t>
      </w:r>
      <w:r>
        <w:rPr>
          <w:color w:val="000000"/>
        </w:rPr>
        <w:t xml:space="preserve"> y no se subsane ese defecto. </w:t>
      </w:r>
    </w:p>
    <w:p w:rsidR="00522688" w:rsidRDefault="004E4FBB">
      <w:pPr>
        <w:numPr>
          <w:ilvl w:val="0"/>
          <w:numId w:val="4"/>
        </w:numPr>
        <w:pBdr>
          <w:top w:val="nil"/>
          <w:left w:val="nil"/>
          <w:bottom w:val="nil"/>
          <w:right w:val="nil"/>
          <w:between w:val="nil"/>
        </w:pBdr>
        <w:rPr>
          <w:color w:val="000000"/>
        </w:rPr>
      </w:pPr>
      <w:r>
        <w:rPr>
          <w:color w:val="000000"/>
          <w:highlight w:val="lightGray"/>
        </w:rPr>
        <w:t>[Incluir cuando la Entidad considere conveniente esta forma de distribución del presupuesto]</w:t>
      </w:r>
      <w:r>
        <w:rPr>
          <w:color w:val="000000"/>
        </w:rPr>
        <w:t xml:space="preserve"> Que la oferta económica supere el valor por etapas y no se subsane ese defecto. </w:t>
      </w:r>
    </w:p>
    <w:p w:rsidR="00522688" w:rsidRDefault="004E4FBB">
      <w:pPr>
        <w:numPr>
          <w:ilvl w:val="0"/>
          <w:numId w:val="4"/>
        </w:numPr>
        <w:pBdr>
          <w:top w:val="nil"/>
          <w:left w:val="nil"/>
          <w:bottom w:val="nil"/>
          <w:right w:val="nil"/>
          <w:between w:val="nil"/>
        </w:pBdr>
        <w:rPr>
          <w:color w:val="000000"/>
        </w:rPr>
      </w:pPr>
      <w:r>
        <w:rPr>
          <w:color w:val="000000"/>
          <w:highlight w:val="lightGray"/>
        </w:rPr>
        <w:t>[Incluir cuando la Entidad exija la discriminación del valor de la oferta económic</w:t>
      </w:r>
      <w:r>
        <w:rPr>
          <w:color w:val="000000"/>
          <w:highlight w:val="lightGray"/>
        </w:rPr>
        <w:t>a incorporando el factor multiplicador]</w:t>
      </w:r>
      <w:r>
        <w:rPr>
          <w:color w:val="000000"/>
        </w:rPr>
        <w:t xml:space="preserve"> No haber realizado la operación matemática con el Factor Multiplicador al enunciar el valor final de la oferta económica y no subsanar ese defecto.</w:t>
      </w:r>
    </w:p>
    <w:p w:rsidR="00522688" w:rsidRDefault="004E4FBB">
      <w:pPr>
        <w:numPr>
          <w:ilvl w:val="0"/>
          <w:numId w:val="4"/>
        </w:numPr>
        <w:pBdr>
          <w:top w:val="nil"/>
          <w:left w:val="nil"/>
          <w:bottom w:val="nil"/>
          <w:right w:val="nil"/>
          <w:between w:val="nil"/>
        </w:pBdr>
        <w:rPr>
          <w:color w:val="000000"/>
        </w:rPr>
      </w:pPr>
      <w:r>
        <w:rPr>
          <w:color w:val="000000"/>
        </w:rPr>
        <w:t>Presentar la oferta con tachaduras o enmendaduras en alguno de los d</w:t>
      </w:r>
      <w:r>
        <w:rPr>
          <w:color w:val="000000"/>
        </w:rPr>
        <w:t>ocumentos que acreditan los requisitos habilitantes o los factores de evaluación de la oferta y no estén convalidadas en la forma indicada en la sección 2.4 del pliego de condiciones, sin perjuicio de la posibilidad de subsanar los primeros en los términos</w:t>
      </w:r>
      <w:r>
        <w:rPr>
          <w:color w:val="000000"/>
        </w:rPr>
        <w:t xml:space="preserve"> del numeral 1.6. </w:t>
      </w:r>
    </w:p>
    <w:p w:rsidR="00522688" w:rsidRDefault="004E4FBB">
      <w:pPr>
        <w:numPr>
          <w:ilvl w:val="0"/>
          <w:numId w:val="4"/>
        </w:numPr>
        <w:pBdr>
          <w:top w:val="nil"/>
          <w:left w:val="nil"/>
          <w:bottom w:val="nil"/>
          <w:right w:val="nil"/>
          <w:between w:val="nil"/>
        </w:pBdr>
        <w:rPr>
          <w:color w:val="000000"/>
        </w:rPr>
      </w:pPr>
      <w:r>
        <w:rPr>
          <w:color w:val="000000"/>
        </w:rPr>
        <w:t>No presentar el “Formato 8 – Aceptación y cumplimiento de la formación y experiencia del personal clave” y no subsanar su entrega en los términos de los numerales “1.6 reglas de subsanabilidad, explicaciones y aclaraciones” y “3.8.2 exig</w:t>
      </w:r>
      <w:r>
        <w:rPr>
          <w:color w:val="000000"/>
        </w:rPr>
        <w:t>encias mínimas de experiencia y formación académica del equipo de trabajo (Personal Clave Evaluable)”.</w:t>
      </w:r>
    </w:p>
    <w:p w:rsidR="00522688" w:rsidRDefault="004E4FBB">
      <w:pPr>
        <w:numPr>
          <w:ilvl w:val="0"/>
          <w:numId w:val="4"/>
        </w:numPr>
        <w:pBdr>
          <w:top w:val="nil"/>
          <w:left w:val="nil"/>
          <w:bottom w:val="nil"/>
          <w:right w:val="nil"/>
          <w:between w:val="nil"/>
        </w:pBdr>
        <w:rPr>
          <w:color w:val="000000"/>
        </w:rPr>
      </w:pPr>
      <w:r>
        <w:rPr>
          <w:color w:val="000000"/>
        </w:rPr>
        <w:t>Cuando se presente la propuesta condicionada para la adjudicación del contrato.</w:t>
      </w:r>
    </w:p>
    <w:p w:rsidR="00522688" w:rsidRDefault="004E4FBB">
      <w:pPr>
        <w:numPr>
          <w:ilvl w:val="0"/>
          <w:numId w:val="4"/>
        </w:numPr>
        <w:pBdr>
          <w:top w:val="nil"/>
          <w:left w:val="nil"/>
          <w:bottom w:val="nil"/>
          <w:right w:val="nil"/>
          <w:between w:val="nil"/>
        </w:pBdr>
        <w:rPr>
          <w:color w:val="000000"/>
        </w:rPr>
      </w:pPr>
      <w:r>
        <w:rPr>
          <w:color w:val="000000"/>
        </w:rPr>
        <w:t>Presentar la oferta extemporáneamente.</w:t>
      </w:r>
    </w:p>
    <w:p w:rsidR="00522688" w:rsidRDefault="004E4FBB">
      <w:pPr>
        <w:numPr>
          <w:ilvl w:val="0"/>
          <w:numId w:val="4"/>
        </w:numPr>
        <w:pBdr>
          <w:top w:val="nil"/>
          <w:left w:val="nil"/>
          <w:bottom w:val="nil"/>
          <w:right w:val="nil"/>
          <w:between w:val="nil"/>
        </w:pBdr>
        <w:rPr>
          <w:color w:val="000000"/>
        </w:rPr>
      </w:pPr>
      <w:r>
        <w:rPr>
          <w:color w:val="000000"/>
        </w:rPr>
        <w:t>No presentar oferta económica y no</w:t>
      </w:r>
      <w:r>
        <w:rPr>
          <w:color w:val="000000"/>
        </w:rPr>
        <w:t xml:space="preserve"> subsanar su entrega, en los términos del numeral 1.6.</w:t>
      </w:r>
    </w:p>
    <w:p w:rsidR="00522688" w:rsidRDefault="004E4FBB">
      <w:pPr>
        <w:numPr>
          <w:ilvl w:val="0"/>
          <w:numId w:val="4"/>
        </w:numPr>
        <w:pBdr>
          <w:top w:val="nil"/>
          <w:left w:val="nil"/>
          <w:bottom w:val="nil"/>
          <w:right w:val="nil"/>
          <w:between w:val="nil"/>
        </w:pBdr>
        <w:rPr>
          <w:color w:val="000000"/>
        </w:rPr>
      </w:pPr>
      <w:r>
        <w:rPr>
          <w:color w:val="000000"/>
        </w:rPr>
        <w:t>Cuando se determine que el valor total de la oferta es artificialmente bajo, de acuerdo con lo establecido en la sección 5.2.</w:t>
      </w:r>
    </w:p>
    <w:p w:rsidR="00522688" w:rsidRDefault="004E4FBB">
      <w:pPr>
        <w:numPr>
          <w:ilvl w:val="0"/>
          <w:numId w:val="4"/>
        </w:numPr>
        <w:pBdr>
          <w:top w:val="nil"/>
          <w:left w:val="nil"/>
          <w:bottom w:val="nil"/>
          <w:right w:val="nil"/>
          <w:between w:val="nil"/>
        </w:pBdr>
        <w:rPr>
          <w:color w:val="000000"/>
        </w:rPr>
      </w:pPr>
      <w:r>
        <w:rPr>
          <w:color w:val="000000"/>
        </w:rPr>
        <w:t>Cuando se presenten propuestas parciales y esta posibilidad no haya sido establecida en el Pliego de Condiciones.</w:t>
      </w:r>
    </w:p>
    <w:p w:rsidR="00522688" w:rsidRDefault="004E4FBB">
      <w:pPr>
        <w:numPr>
          <w:ilvl w:val="0"/>
          <w:numId w:val="4"/>
        </w:numPr>
        <w:pBdr>
          <w:top w:val="nil"/>
          <w:left w:val="nil"/>
          <w:bottom w:val="nil"/>
          <w:right w:val="nil"/>
          <w:between w:val="nil"/>
        </w:pBdr>
        <w:rPr>
          <w:color w:val="000000"/>
        </w:rPr>
      </w:pPr>
      <w:r>
        <w:rPr>
          <w:color w:val="000000"/>
        </w:rPr>
        <w:t>Ofrecer un plazo superior al señalado por la Entidad en el “Anexo 1 – Anexo Técnico”.</w:t>
      </w:r>
    </w:p>
    <w:p w:rsidR="00522688" w:rsidRDefault="004E4FBB">
      <w:pPr>
        <w:numPr>
          <w:ilvl w:val="0"/>
          <w:numId w:val="4"/>
        </w:numPr>
        <w:pBdr>
          <w:top w:val="nil"/>
          <w:left w:val="nil"/>
          <w:bottom w:val="nil"/>
          <w:right w:val="nil"/>
          <w:between w:val="nil"/>
        </w:pBdr>
        <w:rPr>
          <w:color w:val="000000"/>
        </w:rPr>
      </w:pPr>
      <w:r>
        <w:rPr>
          <w:color w:val="000000"/>
        </w:rPr>
        <w:t>Ofrecer condiciones particulares del proyecto de inferio</w:t>
      </w:r>
      <w:r>
        <w:rPr>
          <w:color w:val="000000"/>
        </w:rPr>
        <w:t>r calidad, personal profesional sin los requisitos mínimos, actividades por ejecutar y su alcance, forma de pago, permisos, licencias y autorizaciones, notas técnicas específicas, y documentos técnicos adicionales, en condiciones diferentes a las estableci</w:t>
      </w:r>
      <w:r>
        <w:rPr>
          <w:color w:val="000000"/>
        </w:rPr>
        <w:t xml:space="preserve">das por la Entidad en el “Anexo 1 – Anexo Técnico”.  </w:t>
      </w:r>
    </w:p>
    <w:p w:rsidR="00522688" w:rsidRDefault="004E4FBB">
      <w:pPr>
        <w:numPr>
          <w:ilvl w:val="0"/>
          <w:numId w:val="4"/>
        </w:numPr>
        <w:pBdr>
          <w:top w:val="nil"/>
          <w:left w:val="nil"/>
          <w:bottom w:val="nil"/>
          <w:right w:val="nil"/>
          <w:between w:val="nil"/>
        </w:pBdr>
        <w:rPr>
          <w:color w:val="000000"/>
        </w:rPr>
      </w:pPr>
      <w:r>
        <w:rPr>
          <w:color w:val="000000"/>
          <w:highlight w:val="lightGray"/>
        </w:rPr>
        <w:t>[Incluir cuando la convocatoria del Proceso de Contratación esté limitada a Mipyme]</w:t>
      </w:r>
      <w:r>
        <w:rPr>
          <w:color w:val="000000"/>
        </w:rPr>
        <w:t xml:space="preserve"> Cuando el que presenta oferta o alguno de los miembros del Proponente Plural no acredita la condición de Mipyme y, en </w:t>
      </w:r>
      <w:r>
        <w:rPr>
          <w:color w:val="000000"/>
        </w:rPr>
        <w:t xml:space="preserve">consecuencia, no aporta el RUP vigente y en firme al momento de su presentación y no subsana su entrega, en los términos del numeral 1.6. </w:t>
      </w:r>
    </w:p>
    <w:p w:rsidR="00522688" w:rsidRDefault="004E4FBB">
      <w:pPr>
        <w:numPr>
          <w:ilvl w:val="0"/>
          <w:numId w:val="4"/>
        </w:numPr>
        <w:pBdr>
          <w:top w:val="nil"/>
          <w:left w:val="nil"/>
          <w:bottom w:val="nil"/>
          <w:right w:val="nil"/>
          <w:between w:val="nil"/>
        </w:pBdr>
        <w:rPr>
          <w:color w:val="000000"/>
        </w:rPr>
      </w:pPr>
      <w:r>
        <w:rPr>
          <w:color w:val="000000"/>
        </w:rPr>
        <w:t xml:space="preserve">Las demás previstas en la ley. </w:t>
      </w:r>
    </w:p>
    <w:p w:rsidR="00522688" w:rsidRDefault="00522688"/>
    <w:p w:rsidR="00522688" w:rsidRDefault="004E4FBB">
      <w:pPr>
        <w:pStyle w:val="Ttulo2"/>
        <w:numPr>
          <w:ilvl w:val="1"/>
          <w:numId w:val="15"/>
        </w:numPr>
        <w:ind w:left="709" w:hanging="709"/>
      </w:pPr>
      <w:bookmarkStart w:id="18" w:name="_heading=h.2jxsxqh" w:colFirst="0" w:colLast="0"/>
      <w:bookmarkEnd w:id="18"/>
      <w:r>
        <w:t>CAUSALES PARA DECLARAR DESIERTO EL PROCESO DE SELECCIÓN</w:t>
      </w:r>
    </w:p>
    <w:p w:rsidR="00522688" w:rsidRDefault="00522688"/>
    <w:p w:rsidR="00522688" w:rsidRDefault="004E4FBB">
      <w:r>
        <w:t>La Entidad podrá declarar d</w:t>
      </w:r>
      <w:r>
        <w:t xml:space="preserve">esierto el Proceso de Contratación cuando: </w:t>
      </w:r>
    </w:p>
    <w:p w:rsidR="00522688" w:rsidRDefault="00522688"/>
    <w:p w:rsidR="00522688" w:rsidRDefault="004E4FBB">
      <w:pPr>
        <w:numPr>
          <w:ilvl w:val="0"/>
          <w:numId w:val="6"/>
        </w:numPr>
        <w:pBdr>
          <w:top w:val="nil"/>
          <w:left w:val="nil"/>
          <w:bottom w:val="nil"/>
          <w:right w:val="nil"/>
          <w:between w:val="nil"/>
        </w:pBdr>
        <w:rPr>
          <w:color w:val="000000"/>
        </w:rPr>
      </w:pPr>
      <w:r>
        <w:rPr>
          <w:color w:val="000000"/>
        </w:rPr>
        <w:t>No se presenten ofertas.</w:t>
      </w:r>
    </w:p>
    <w:p w:rsidR="00522688" w:rsidRDefault="004E4FBB">
      <w:pPr>
        <w:numPr>
          <w:ilvl w:val="0"/>
          <w:numId w:val="6"/>
        </w:numPr>
        <w:pBdr>
          <w:top w:val="nil"/>
          <w:left w:val="nil"/>
          <w:bottom w:val="nil"/>
          <w:right w:val="nil"/>
          <w:between w:val="nil"/>
        </w:pBdr>
        <w:rPr>
          <w:color w:val="000000"/>
        </w:rPr>
      </w:pPr>
      <w:r>
        <w:rPr>
          <w:color w:val="000000"/>
        </w:rPr>
        <w:t>Ninguna oferta resulte hábil, por no cumplir las exigencias del Pliego de Condiciones.</w:t>
      </w:r>
    </w:p>
    <w:p w:rsidR="00522688" w:rsidRDefault="004E4FBB">
      <w:pPr>
        <w:numPr>
          <w:ilvl w:val="0"/>
          <w:numId w:val="6"/>
        </w:numPr>
        <w:pBdr>
          <w:top w:val="nil"/>
          <w:left w:val="nil"/>
          <w:bottom w:val="nil"/>
          <w:right w:val="nil"/>
          <w:between w:val="nil"/>
        </w:pBdr>
        <w:rPr>
          <w:color w:val="000000"/>
        </w:rPr>
      </w:pPr>
      <w:r>
        <w:rPr>
          <w:color w:val="000000"/>
        </w:rPr>
        <w:t>Existan causas o motivos que impidan la escogencia objetiva del Proponente.</w:t>
      </w:r>
    </w:p>
    <w:p w:rsidR="00522688" w:rsidRDefault="004E4FBB">
      <w:pPr>
        <w:numPr>
          <w:ilvl w:val="0"/>
          <w:numId w:val="6"/>
        </w:numPr>
        <w:pBdr>
          <w:top w:val="nil"/>
          <w:left w:val="nil"/>
          <w:bottom w:val="nil"/>
          <w:right w:val="nil"/>
          <w:between w:val="nil"/>
        </w:pBdr>
        <w:rPr>
          <w:color w:val="000000"/>
        </w:rPr>
      </w:pPr>
      <w:r>
        <w:rPr>
          <w:color w:val="000000"/>
        </w:rPr>
        <w:t>Lo contemple la ley.</w:t>
      </w:r>
    </w:p>
    <w:p w:rsidR="00522688" w:rsidRDefault="00522688"/>
    <w:p w:rsidR="00522688" w:rsidRDefault="004E4FBB">
      <w:pPr>
        <w:pStyle w:val="Ttulo2"/>
        <w:numPr>
          <w:ilvl w:val="1"/>
          <w:numId w:val="15"/>
        </w:numPr>
        <w:ind w:left="709" w:hanging="709"/>
      </w:pPr>
      <w:bookmarkStart w:id="19" w:name="_heading=h.z337ya" w:colFirst="0" w:colLast="0"/>
      <w:bookmarkEnd w:id="19"/>
      <w:r>
        <w:t xml:space="preserve">NORMAS DE INTERPRETACIÓN DEL PLIEGO DE CONDICIONES </w:t>
      </w:r>
    </w:p>
    <w:p w:rsidR="00522688" w:rsidRDefault="00522688"/>
    <w:p w:rsidR="00522688" w:rsidRDefault="004E4FBB">
      <w:r>
        <w:lastRenderedPageBreak/>
        <w:t>Este Pliego de Condiciones debe interpretarse como un todo y sus disposiciones no deben entenderse de manera separada de lo que indica su contexto general. Por lo tanto, se considera integrada la informa</w:t>
      </w:r>
      <w:r>
        <w:t>ción incluida en los documentos del proceso que lo acompañan y las adendas que se expidan.</w:t>
      </w:r>
    </w:p>
    <w:p w:rsidR="00522688" w:rsidRDefault="00522688"/>
    <w:p w:rsidR="00522688" w:rsidRDefault="004E4FBB">
      <w:r>
        <w:t>Además, se seguirán los siguientes criterios para interpretar y entender el Pliego de Condiciones:</w:t>
      </w:r>
    </w:p>
    <w:p w:rsidR="00522688" w:rsidRDefault="00522688"/>
    <w:p w:rsidR="00522688" w:rsidRDefault="004E4FBB">
      <w:pPr>
        <w:numPr>
          <w:ilvl w:val="0"/>
          <w:numId w:val="8"/>
        </w:numPr>
        <w:pBdr>
          <w:top w:val="nil"/>
          <w:left w:val="nil"/>
          <w:bottom w:val="nil"/>
          <w:right w:val="nil"/>
          <w:between w:val="nil"/>
        </w:pBdr>
        <w:rPr>
          <w:color w:val="000000"/>
        </w:rPr>
      </w:pPr>
      <w:r>
        <w:rPr>
          <w:color w:val="000000"/>
        </w:rPr>
        <w:t xml:space="preserve">El orden de los numerales, capítulos y cláusulas de este Pliego </w:t>
      </w:r>
      <w:r>
        <w:rPr>
          <w:color w:val="000000"/>
        </w:rPr>
        <w:t>de Condiciones no deben interpretarse como un grado de prelación entre los mismos.</w:t>
      </w:r>
    </w:p>
    <w:p w:rsidR="00522688" w:rsidRDefault="004E4FBB">
      <w:pPr>
        <w:numPr>
          <w:ilvl w:val="0"/>
          <w:numId w:val="8"/>
        </w:numPr>
        <w:pBdr>
          <w:top w:val="nil"/>
          <w:left w:val="nil"/>
          <w:bottom w:val="nil"/>
          <w:right w:val="nil"/>
          <w:between w:val="nil"/>
        </w:pBdr>
        <w:rPr>
          <w:color w:val="000000"/>
        </w:rPr>
      </w:pPr>
      <w:r>
        <w:rPr>
          <w:color w:val="000000"/>
        </w:rPr>
        <w:t>Los títulos de los numerales y capítulos utilizados en este pliego solo sirven como referencia y no afectan la interpretación de su contenido.</w:t>
      </w:r>
    </w:p>
    <w:p w:rsidR="00522688" w:rsidRDefault="004E4FBB">
      <w:pPr>
        <w:numPr>
          <w:ilvl w:val="0"/>
          <w:numId w:val="8"/>
        </w:numPr>
        <w:pBdr>
          <w:top w:val="nil"/>
          <w:left w:val="nil"/>
          <w:bottom w:val="nil"/>
          <w:right w:val="nil"/>
          <w:between w:val="nil"/>
        </w:pBdr>
        <w:rPr>
          <w:color w:val="000000"/>
        </w:rPr>
      </w:pPr>
      <w:r>
        <w:rPr>
          <w:color w:val="000000"/>
        </w:rPr>
        <w:t>Las palabras en singular se en</w:t>
      </w:r>
      <w:r>
        <w:rPr>
          <w:color w:val="000000"/>
        </w:rPr>
        <w:t>tenderán también en plural y viceversa, cuando lo exija el contexto; y las palabras en género femenino, se entenderán en género masculino y viceversa, cuando el contexto lo requiera.</w:t>
      </w:r>
    </w:p>
    <w:p w:rsidR="00522688" w:rsidRDefault="004E4FBB">
      <w:pPr>
        <w:numPr>
          <w:ilvl w:val="0"/>
          <w:numId w:val="8"/>
        </w:numPr>
        <w:pBdr>
          <w:top w:val="nil"/>
          <w:left w:val="nil"/>
          <w:bottom w:val="nil"/>
          <w:right w:val="nil"/>
          <w:between w:val="nil"/>
        </w:pBdr>
        <w:rPr>
          <w:color w:val="000000"/>
        </w:rPr>
      </w:pPr>
      <w:r>
        <w:rPr>
          <w:color w:val="000000"/>
        </w:rPr>
        <w:t>Los plazos en días establecidos en este Pliego de Condiciones se entiende</w:t>
      </w:r>
      <w:r>
        <w:rPr>
          <w:color w:val="000000"/>
        </w:rPr>
        <w:t>n como hábiles, salvo que de manera expresa la Entidad indique que se trata de calendario o de meses. Cuando el vencimiento de un plazo corresponda a un día no hábil o no laboral para la Entidad éste se trasladará al día hábil siguiente.</w:t>
      </w:r>
    </w:p>
    <w:p w:rsidR="00522688" w:rsidRDefault="004E4FBB">
      <w:pPr>
        <w:numPr>
          <w:ilvl w:val="0"/>
          <w:numId w:val="8"/>
        </w:numPr>
        <w:pBdr>
          <w:top w:val="nil"/>
          <w:left w:val="nil"/>
          <w:bottom w:val="nil"/>
          <w:right w:val="nil"/>
          <w:between w:val="nil"/>
        </w:pBdr>
        <w:rPr>
          <w:color w:val="000000"/>
        </w:rPr>
      </w:pPr>
      <w:r>
        <w:rPr>
          <w:color w:val="000000"/>
        </w:rPr>
        <w:t>Las palabras defin</w:t>
      </w:r>
      <w:r>
        <w:rPr>
          <w:color w:val="000000"/>
        </w:rPr>
        <w:t>idas en este Pliego de Condiciones deben entenderse en dicho sentido.</w:t>
      </w:r>
    </w:p>
    <w:p w:rsidR="00522688" w:rsidRDefault="004E4FBB">
      <w:pPr>
        <w:numPr>
          <w:ilvl w:val="0"/>
          <w:numId w:val="8"/>
        </w:numPr>
        <w:pBdr>
          <w:top w:val="nil"/>
          <w:left w:val="nil"/>
          <w:bottom w:val="nil"/>
          <w:right w:val="nil"/>
          <w:between w:val="nil"/>
        </w:pBdr>
        <w:rPr>
          <w:color w:val="000000"/>
        </w:rPr>
      </w:pPr>
      <w:r>
        <w:rPr>
          <w:color w:val="000000"/>
        </w:rPr>
        <w:t>Las referencias a normas jurídicas incluyen las disposiciones que las modifiquen, adicionen, sustituyan o complementen.</w:t>
      </w:r>
    </w:p>
    <w:p w:rsidR="00522688" w:rsidRDefault="004E4FBB">
      <w:pPr>
        <w:numPr>
          <w:ilvl w:val="0"/>
          <w:numId w:val="8"/>
        </w:numPr>
        <w:pBdr>
          <w:top w:val="nil"/>
          <w:left w:val="nil"/>
          <w:bottom w:val="nil"/>
          <w:right w:val="nil"/>
          <w:between w:val="nil"/>
        </w:pBdr>
        <w:rPr>
          <w:color w:val="000000"/>
        </w:rPr>
      </w:pPr>
      <w:r>
        <w:rPr>
          <w:color w:val="000000"/>
        </w:rPr>
        <w:t>Este pliego se interpretará, además, en lo pertinente, de conformi</w:t>
      </w:r>
      <w:r>
        <w:rPr>
          <w:color w:val="000000"/>
        </w:rPr>
        <w:t>dad con las reglas del Código Civil definidas en los artículos 1618 a 1624.</w:t>
      </w:r>
    </w:p>
    <w:p w:rsidR="00522688" w:rsidRDefault="00522688"/>
    <w:p w:rsidR="00522688" w:rsidRDefault="004E4FBB">
      <w:pPr>
        <w:pStyle w:val="Ttulo2"/>
        <w:numPr>
          <w:ilvl w:val="1"/>
          <w:numId w:val="15"/>
        </w:numPr>
        <w:ind w:left="709" w:hanging="709"/>
      </w:pPr>
      <w:bookmarkStart w:id="20" w:name="_heading=h.3j2qqm3" w:colFirst="0" w:colLast="0"/>
      <w:bookmarkEnd w:id="20"/>
      <w:r>
        <w:t>RETIRO DE LA PROPUESTA</w:t>
      </w:r>
    </w:p>
    <w:p w:rsidR="00522688" w:rsidRDefault="00522688"/>
    <w:p w:rsidR="00522688" w:rsidRDefault="004E4FBB">
      <w:r>
        <w:t>Los Proponentes que entreguen su oferta antes de la fecha de cierre del proceso podrán retirarla, siempre y cuando la solicitud, efectuada mediante escrito</w:t>
      </w:r>
      <w:r>
        <w:t xml:space="preserve">, sea recibida por la Entidad antes de la fecha y hora del cierre. La oferta se devolverá al Proponente sin abrir, previa expedición de una constancia de recibo firmada por la misma persona que suscribió la oferta o su apoderado. </w:t>
      </w:r>
    </w:p>
    <w:p w:rsidR="00522688" w:rsidRDefault="00522688"/>
    <w:p w:rsidR="00522688" w:rsidRDefault="004E4FBB">
      <w:r>
        <w:t>Si la propuesta es retir</w:t>
      </w:r>
      <w:r>
        <w:t>ada después del cierre del Proceso de Contratación, la Entidad debe declarar el siniestro de la Garantía de seriedad de la oferta.</w:t>
      </w:r>
    </w:p>
    <w:p w:rsidR="00522688" w:rsidRDefault="00522688"/>
    <w:p w:rsidR="00522688" w:rsidRDefault="004E4FBB">
      <w:r>
        <w:t>Si la oferta se presenta a través del SECOP II, el Proponente debe seguir el proceso indicado en la “Guía rápida para la presentación de ofertas en SECOP II”. Una vez se cumpla la fecha y la hora del cierre del Proceso de Contratación, la plataforma del SE</w:t>
      </w:r>
      <w:r>
        <w:t>COP II bloquea a los proveedores la opción del retiro de ofertas. En este sentido, basta el retiro en la oferta por la plataforma del SECOP II, sin necesidad de enviar una solicitud a la Entidad.</w:t>
      </w:r>
    </w:p>
    <w:p w:rsidR="00522688" w:rsidRDefault="00522688"/>
    <w:p w:rsidR="00522688" w:rsidRDefault="004E4FBB">
      <w:pPr>
        <w:pStyle w:val="Ttulo2"/>
        <w:numPr>
          <w:ilvl w:val="1"/>
          <w:numId w:val="15"/>
        </w:numPr>
        <w:ind w:left="709" w:hanging="709"/>
      </w:pPr>
      <w:bookmarkStart w:id="21" w:name="_heading=h.1y810tw" w:colFirst="0" w:colLast="0"/>
      <w:bookmarkEnd w:id="21"/>
      <w:r>
        <w:t>CONFIDENCIALIDAD DE LA INFORMACIÓN RELACIONADA CON DATOS SENSIBLES</w:t>
      </w:r>
    </w:p>
    <w:p w:rsidR="00522688" w:rsidRDefault="00522688"/>
    <w:p w:rsidR="00522688" w:rsidRDefault="004E4FBB">
      <w:r>
        <w:t>Conforme el artículo 18 de la Ley 1712 del 2014 o la norma que lo modifique, aclare, adicione o sustituya, la información pública puede exceptuarse de su acceso cuando pueda causar un daño</w:t>
      </w:r>
      <w:r>
        <w:t xml:space="preserve"> a los siguientes derechos de las personas naturales o jurídicas: el derecho a la intimidad, el derecho de toda a la persona a la vida, la salud o la seguridad y los secretos comerciales, industriales y profesionales. De acuerdo con lo anterior, la Entidad</w:t>
      </w:r>
      <w:r>
        <w:t xml:space="preserve"> garantizará el derecho a la reserva legal de toda aquella información que acredita el cumplimiento de los factores de desempate de: i) mujeres víctima de violencia intrafamiliar, ii) personas en proceso de reincorporación y/o reintegración y iii) la pobla</w:t>
      </w:r>
      <w:r>
        <w:t xml:space="preserve">ción indígena, negra, afrocolombiana, raizal, palenquera, Rrom o gitanas. </w:t>
      </w:r>
    </w:p>
    <w:p w:rsidR="00522688" w:rsidRDefault="00522688"/>
    <w:p w:rsidR="00522688" w:rsidRDefault="004E4FBB">
      <w:r>
        <w:t>Por tanto, en la plataforma del SECOP I y II no se publicará para conocimiento de terceros la información relacionada con los factores de desempate de personas en procesos de reinc</w:t>
      </w:r>
      <w:r>
        <w:t xml:space="preserve">orporación </w:t>
      </w:r>
      <w:r>
        <w:lastRenderedPageBreak/>
        <w:t>o reintegración, las mujeres víctimas de violencia intrafamiliar o la población indígena, negra, afrocolombiana, raizal, palenquera, Rrom o gitanas, puesto que su conocimiento público afecta el derecho a la intimidad de los oferentes o de sus tr</w:t>
      </w:r>
      <w:r>
        <w:t xml:space="preserve">abajadores o socios o accionistas. </w:t>
      </w:r>
    </w:p>
    <w:p w:rsidR="00522688" w:rsidRDefault="00522688"/>
    <w:p w:rsidR="00522688" w:rsidRDefault="004E4FBB">
      <w:r>
        <w:t xml:space="preserve">Además, de acuerdo con el artículo 6 de Ley 1581 de 2012, o la norma que lo modifique, aclare, adicione o sustituya, se requiere que el titular de la información de estos datos sensibles, como es el caso de las mujeres </w:t>
      </w:r>
      <w:r>
        <w:t>víctima de violencia intrafamiliar, las personas en proceso de reincorporación o reintegración, o la población indígena, negra, afrocolombiana, raizal, palenquera, Rrom o gitanas, diligencie el “Formato 12- Autorización para el tratamiento de datos persona</w:t>
      </w:r>
      <w:r>
        <w:t>les” como requisito para el otorgamiento del criterio de desempate.</w:t>
      </w:r>
    </w:p>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22" w:name="_heading=h.4i7ojhp" w:colFirst="0" w:colLast="0"/>
      <w:bookmarkEnd w:id="22"/>
      <w:r>
        <w:lastRenderedPageBreak/>
        <w:t>ELABORACIÓN, PRESENTACIÓN DE LA OFERTA Y EVALUACIÓN</w:t>
      </w:r>
    </w:p>
    <w:p w:rsidR="00522688" w:rsidRDefault="00522688">
      <w:pPr>
        <w:numPr>
          <w:ilvl w:val="0"/>
          <w:numId w:val="15"/>
        </w:numPr>
        <w:pBdr>
          <w:top w:val="nil"/>
          <w:left w:val="nil"/>
          <w:bottom w:val="nil"/>
          <w:right w:val="nil"/>
          <w:between w:val="nil"/>
        </w:pBdr>
        <w:rPr>
          <w:color w:val="000000"/>
        </w:rPr>
      </w:pPr>
    </w:p>
    <w:p w:rsidR="00522688" w:rsidRDefault="004E4FBB">
      <w:pPr>
        <w:pStyle w:val="Ttulo2"/>
        <w:numPr>
          <w:ilvl w:val="1"/>
          <w:numId w:val="15"/>
        </w:numPr>
        <w:ind w:left="709" w:hanging="709"/>
      </w:pPr>
      <w:bookmarkStart w:id="23" w:name="_heading=h.2xcytpi" w:colFirst="0" w:colLast="0"/>
      <w:bookmarkEnd w:id="23"/>
      <w:r>
        <w:t>CARTA DE PRESENTACIÓN DE LA OFERTA</w:t>
      </w:r>
    </w:p>
    <w:p w:rsidR="00522688" w:rsidRDefault="00522688"/>
    <w:p w:rsidR="00522688" w:rsidRDefault="004E4FBB">
      <w: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rsidR="00522688" w:rsidRDefault="004E4FBB">
      <w:r>
        <w:t xml:space="preserve"> </w:t>
      </w:r>
    </w:p>
    <w:p w:rsidR="00522688" w:rsidRDefault="004E4FBB">
      <w:r>
        <w:t>En virtud de lo previsto en la Ley 842 de 2003 y con el fin de evitar el ejercicio ilegal de la ingeniería, la persona natural (Proponente individual o integrante de la estructura plural) que pretenda participar en el Proceso de Contratación, debe acredi</w:t>
      </w:r>
      <w:r>
        <w:t xml:space="preserve">tar que posee título como ingeniero, para lo cual adjuntará copia de la tarjeta profesional y del certificado de la vigencia de matrícula profesional expedida por el COPNIA </w:t>
      </w:r>
      <w:r>
        <w:rPr>
          <w:highlight w:val="lightGray"/>
        </w:rPr>
        <w:t>o Consejo Profesional de Ingeniería de Transportes y Vías de Colombia en la respect</w:t>
      </w:r>
      <w:r>
        <w:rPr>
          <w:highlight w:val="lightGray"/>
        </w:rPr>
        <w:t>iva rama de la ingeniería</w:t>
      </w:r>
      <w:r>
        <w:t xml:space="preserve">, según corresponda, vigente a la fecha de cierre del Proceso de Contratación. El requisito de la tarjeta profesional se puede suplir con el requisito de que trata el artículo 18 del Decreto - Ley 2106 de 2019.  </w:t>
      </w:r>
    </w:p>
    <w:p w:rsidR="00522688" w:rsidRDefault="004E4FBB">
      <w:r>
        <w:t xml:space="preserve"> </w:t>
      </w:r>
    </w:p>
    <w:p w:rsidR="00522688" w:rsidRDefault="004E4FBB">
      <w:r>
        <w:t>De acuerdo con e</w:t>
      </w:r>
      <w:r>
        <w:t>l artículo 20 de la Ley 842 de 2003 si el representante legal o apoderado del Proponente individual persona jurídica o el representante o apoderado del Proponente Plural, no posee título de una de las profesiones catalogadas como ejercicio de la ingeniería</w:t>
      </w:r>
      <w:r>
        <w:t xml:space="preserve">, la oferta tendrá que ser avalada por un ingeniero, para lo cual adjuntará copia de la tarjeta profesional y del certificado de vigencia de matrícula profesional expedida por el COPNIA </w:t>
      </w:r>
      <w:r>
        <w:rPr>
          <w:highlight w:val="lightGray"/>
        </w:rPr>
        <w:t>o el Consejo Profesional de Ingeniería de Transportes y Vías de Colomb</w:t>
      </w:r>
      <w:r>
        <w:rPr>
          <w:highlight w:val="lightGray"/>
        </w:rPr>
        <w:t>ia</w:t>
      </w:r>
      <w:r>
        <w:t xml:space="preserve">, en la respectiva rama de la ingeniería, según corresponda, vigente a la fecha de cierre de este Proceso de Contratación. El requisito de la tarjeta profesional se puede suplir con el registro de que trata el artículo 18 del Decreto- Ley 2106 de 2019. </w:t>
      </w:r>
    </w:p>
    <w:p w:rsidR="00522688" w:rsidRDefault="004E4FBB">
      <w:r>
        <w:t xml:space="preserve"> </w:t>
      </w:r>
    </w:p>
    <w:p w:rsidR="00522688" w:rsidRDefault="004E4FBB">
      <w:r>
        <w:t>El aval del ingeniero del que trata el artículo 20 de la Ley 842 de 2003 hace parte integral del "Formato 1 – Carta de presentación de la oferta” cuando el Proponente deba allegarlo.</w:t>
      </w:r>
    </w:p>
    <w:p w:rsidR="00522688" w:rsidRDefault="004E4FBB">
      <w:r>
        <w:t xml:space="preserve"> </w:t>
      </w:r>
    </w:p>
    <w:p w:rsidR="00522688" w:rsidRDefault="004E4FBB">
      <w:r>
        <w:t>La carta de presentación debe suscribirse. Con la firma de este docum</w:t>
      </w:r>
      <w:r>
        <w:t xml:space="preserve">ento se entiende que el Proponente conoce y acepta las obligaciones del Anexo 4 – Pacto de Transparencia y, por lo tanto, no será necesaria la entrega de este documento al momento de radicar la oferta.  </w:t>
      </w:r>
    </w:p>
    <w:p w:rsidR="00522688" w:rsidRDefault="004E4FBB">
      <w:r>
        <w:t xml:space="preserve"> </w:t>
      </w:r>
    </w:p>
    <w:p w:rsidR="00522688" w:rsidRDefault="004E4FBB">
      <w:r>
        <w:t>El Proponente debe diligenciar los Formatos. Todos</w:t>
      </w:r>
      <w:r>
        <w:t xml:space="preserve"> los espacios en blanco deben completarse con la información solicitada. </w:t>
      </w:r>
    </w:p>
    <w:p w:rsidR="00522688" w:rsidRDefault="00522688"/>
    <w:p w:rsidR="00522688" w:rsidRDefault="004E4FBB">
      <w:r>
        <w:rPr>
          <w:highlight w:val="lightGray"/>
        </w:rPr>
        <w:t>[Cuando el proceso se estructure por lotes o por grupos, el Proponente debe indicar en el “Formato 1 – Carta de presentación de la oferta”, el lote/grupo o lotes/grupos a los cuales</w:t>
      </w:r>
      <w:r>
        <w:rPr>
          <w:highlight w:val="lightGray"/>
        </w:rPr>
        <w:t xml:space="preserve"> allega oferta, según las posibilidades que otorgue la Entidad].</w:t>
      </w:r>
      <w:r>
        <w:t xml:space="preserve"> </w:t>
      </w:r>
    </w:p>
    <w:p w:rsidR="00522688" w:rsidRDefault="00522688"/>
    <w:p w:rsidR="00522688" w:rsidRDefault="004E4FBB">
      <w:pPr>
        <w:pStyle w:val="Ttulo2"/>
        <w:numPr>
          <w:ilvl w:val="1"/>
          <w:numId w:val="15"/>
        </w:numPr>
        <w:ind w:left="709" w:hanging="709"/>
      </w:pPr>
      <w:bookmarkStart w:id="24" w:name="_heading=h.1ci93xb" w:colFirst="0" w:colLast="0"/>
      <w:bookmarkEnd w:id="24"/>
      <w:r>
        <w:t xml:space="preserve"> APODERADO</w:t>
      </w:r>
    </w:p>
    <w:p w:rsidR="00522688" w:rsidRDefault="00522688"/>
    <w:p w:rsidR="00522688" w:rsidRDefault="004E4FBB">
      <w:r>
        <w:t xml:space="preserve">Los Proponentes podrán presentar ofertas directamente o suscritas por intermedio de apoderado, evento en el cual deben anexar el poder otorgado en legal forma (artículo 5 del Decreto – Ley 019 de 2012), en el que se confiere al apoderado de manera clara y </w:t>
      </w:r>
      <w:r>
        <w:t>expresa facultades amplias y suficientes para actuar, obligar y responsabilizar a quien(es) representa en el trámite del proceso y en la suscripción del Contrato. No obstante, la simple entrega física o radicación de la oferta en la Entidad puede realizarl</w:t>
      </w:r>
      <w:r>
        <w:t>a cualquier persona, sin necesidad de poder o autorización.</w:t>
      </w:r>
    </w:p>
    <w:p w:rsidR="00522688" w:rsidRDefault="00522688"/>
    <w:p w:rsidR="00522688" w:rsidRDefault="004E4FBB">
      <w:r>
        <w:t>El apoderado que firme la oferta podrá ser una persona natural o jurídica que en todo caso debe tener domicilio permanente, para efectos de este proceso, en la República de Colombia, y debe estar</w:t>
      </w:r>
      <w:r>
        <w:t xml:space="preserve"> </w:t>
      </w:r>
      <w:r>
        <w:lastRenderedPageBreak/>
        <w:t>facultado para representar al Proponente y/o a todos los integrantes del Proponente Plural, a efectos de adelantar en su nombre de manera específica las siguientes actividades: (i) presentar oferta para el Proceso de Contratación que trata este pliego; (i</w:t>
      </w:r>
      <w:r>
        <w:t>i) responder a los requerimientos y aclaraciones solicitados por la Entidad en el curso del proceso; (iii) recibir las notificaciones a que haya lugar dentro del proceso (iv) suscribir el Contrato en nombre y representación del adjudicatario así como el ac</w:t>
      </w:r>
      <w:r>
        <w:t>ta de terminación y liquidación, si a ello hubiere lugar.</w:t>
      </w:r>
    </w:p>
    <w:p w:rsidR="00522688" w:rsidRDefault="00522688"/>
    <w:p w:rsidR="00522688" w:rsidRDefault="004E4FBB">
      <w:r>
        <w:t>Las personas extranjeras que participen mediante un Proponente Plural podrán constituir un solo apoderado común y, en tal caso, bastará para todos los efectos la presentación del poder común otorga</w:t>
      </w:r>
      <w:r>
        <w:t>do por todos los integrantes con los requisitos de autenticación, legalización y/o apostilla y traducción exigidos en el Código de Comercio y en el Código General del Proceso de Colombia, incluyendo los señalados en el Pliego de Condiciones. El poder a que</w:t>
      </w:r>
      <w:r>
        <w:t xml:space="preserve"> se refiere este párrafo podrá otorgarse en el mismo acto de constitución del Proponente Plural.</w:t>
      </w:r>
    </w:p>
    <w:p w:rsidR="00522688" w:rsidRDefault="00522688"/>
    <w:p w:rsidR="00522688" w:rsidRDefault="004E4FBB">
      <w:pPr>
        <w:pStyle w:val="Ttulo2"/>
        <w:numPr>
          <w:ilvl w:val="1"/>
          <w:numId w:val="15"/>
        </w:numPr>
        <w:ind w:left="709" w:hanging="709"/>
      </w:pPr>
      <w:bookmarkStart w:id="25" w:name="_heading=h.3whwml4" w:colFirst="0" w:colLast="0"/>
      <w:bookmarkEnd w:id="25"/>
      <w:r>
        <w:t>LIMITACIÓN A MIPYME</w:t>
      </w:r>
    </w:p>
    <w:p w:rsidR="00522688" w:rsidRDefault="00522688"/>
    <w:p w:rsidR="00522688" w:rsidRDefault="004E4FBB">
      <w:pPr>
        <w:rPr>
          <w:highlight w:val="lightGray"/>
        </w:rPr>
      </w:pPr>
      <w:r>
        <w:rPr>
          <w:highlight w:val="lightGray"/>
        </w:rPr>
        <w:t>[En caso de que el proceso no sea susceptible de limitarse a Mipyme, la Entidad señalará lo siguiente en este numeral: el presente proced</w:t>
      </w:r>
      <w:r>
        <w:rPr>
          <w:highlight w:val="lightGray"/>
        </w:rPr>
        <w:t>imiento de selección no es susceptible de limitarse a Mipyme.</w:t>
      </w:r>
    </w:p>
    <w:p w:rsidR="00522688" w:rsidRDefault="00522688">
      <w:pPr>
        <w:rPr>
          <w:highlight w:val="lightGray"/>
        </w:rPr>
      </w:pPr>
    </w:p>
    <w:p w:rsidR="00522688" w:rsidRDefault="004E4FBB">
      <w:pPr>
        <w:rPr>
          <w:highlight w:val="lightGray"/>
        </w:rPr>
      </w:pPr>
      <w:r>
        <w:rPr>
          <w:highlight w:val="lightGray"/>
        </w:rPr>
        <w:t xml:space="preserve">En caso de que el proceso sea susceptible de limitarse a Mipyme, una vez cumplidos los requisitos del artículo 2.2.1.2.4.2.2. del Decreto 1082 de 2015, o la norma que lo modifique, complemente </w:t>
      </w:r>
      <w:r>
        <w:rPr>
          <w:highlight w:val="lightGray"/>
        </w:rPr>
        <w:t>o sustituya, se seguirán las siguientes instrucciones:]</w:t>
      </w:r>
    </w:p>
    <w:p w:rsidR="00522688" w:rsidRDefault="00522688">
      <w:pPr>
        <w:rPr>
          <w:highlight w:val="lightGray"/>
        </w:rPr>
      </w:pPr>
    </w:p>
    <w:p w:rsidR="00522688" w:rsidRDefault="004E4FBB">
      <w:pPr>
        <w:rPr>
          <w:highlight w:val="lightGray"/>
        </w:rPr>
      </w:pPr>
      <w:r>
        <w:rPr>
          <w:highlight w:val="lightGray"/>
        </w:rPr>
        <w:t>[La Entidad adaptará este numeral dependiendo del momento en el cual se encuentre el Proceso de Contratación]:</w:t>
      </w:r>
    </w:p>
    <w:p w:rsidR="00522688" w:rsidRDefault="00522688">
      <w:pPr>
        <w:rPr>
          <w:highlight w:val="lightGray"/>
        </w:rPr>
      </w:pPr>
    </w:p>
    <w:p w:rsidR="00522688" w:rsidRDefault="004E4FBB">
      <w:r>
        <w:rPr>
          <w:highlight w:val="lightGray"/>
        </w:rPr>
        <w:t>[En el proyecto de Pliego de Condiciones se incluirá lo siguiente:]</w:t>
      </w:r>
      <w:r>
        <w:t xml:space="preserve"> </w:t>
      </w:r>
    </w:p>
    <w:p w:rsidR="00522688" w:rsidRDefault="00522688"/>
    <w:p w:rsidR="00522688" w:rsidRDefault="004E4FBB">
      <w:pPr>
        <w:ind w:right="49"/>
      </w:pPr>
      <w:r>
        <w:rPr>
          <w:highlight w:val="lightGray"/>
        </w:rPr>
        <w:t>[En esta sección,</w:t>
      </w:r>
      <w:r>
        <w:rPr>
          <w:highlight w:val="lightGray"/>
        </w:rPr>
        <w:t xml:space="preserve"> la Entidad podrá definir si es procedente alguna limitación territorial y las condiciones bajo las cuales procedería, para lo cual podrá modificar este apartado estableciendo la regulación correspondiente. En este escrito, el interesado persona natural o </w:t>
      </w:r>
      <w:r>
        <w:rPr>
          <w:highlight w:val="lightGray"/>
        </w:rPr>
        <w:t>el representante legal del interesado persona jurídica manifestará si la intención es que la limitación sea a Mipyme nacional o territorial, de acuerdo con las reglas definidas en el proyecto de Pliego de Condiciones.]</w:t>
      </w:r>
      <w:r>
        <w:t xml:space="preserve"> </w:t>
      </w:r>
    </w:p>
    <w:p w:rsidR="00522688" w:rsidRDefault="00522688"/>
    <w:p w:rsidR="00522688" w:rsidRDefault="004E4FBB">
      <w:pPr>
        <w:pStyle w:val="Ttulo3"/>
        <w:keepLines w:val="0"/>
        <w:tabs>
          <w:tab w:val="left" w:pos="993"/>
        </w:tabs>
        <w:rPr>
          <w:highlight w:val="yellow"/>
        </w:rPr>
      </w:pPr>
      <w:r>
        <w:rPr>
          <w:highlight w:val="yellow"/>
        </w:rPr>
        <w:t xml:space="preserve">2.3.1 ACREDITACIÓN DE LA CONDICIÓN </w:t>
      </w:r>
      <w:r>
        <w:rPr>
          <w:highlight w:val="yellow"/>
        </w:rPr>
        <w:t>MIPYMES Y DE LOS REQUISITOS MÍNIMOS DEL DECRETO 1082 DE 2015 PARA LA LIMITACIÓN DEL PROCESO.</w:t>
      </w:r>
    </w:p>
    <w:p w:rsidR="00522688" w:rsidRDefault="00522688">
      <w:pPr>
        <w:ind w:left="284" w:hanging="1"/>
        <w:rPr>
          <w:highlight w:val="yellow"/>
        </w:rPr>
      </w:pPr>
    </w:p>
    <w:p w:rsidR="00522688" w:rsidRDefault="004E4FBB">
      <w:pPr>
        <w:ind w:hanging="2"/>
        <w:rPr>
          <w:highlight w:val="yellow"/>
        </w:rPr>
      </w:pPr>
      <w:r>
        <w:rPr>
          <w:highlight w:val="yellow"/>
        </w:rPr>
        <w:t xml:space="preserve">De conformidad con lo dispuesto por el Articulo 2.2.1.2.4.2.2. del Decreto 1082 de 2015, modificado por el artículo 5 del decreto 1860 de 2021,en este proceso de </w:t>
      </w:r>
      <w:r>
        <w:rPr>
          <w:highlight w:val="yellow"/>
        </w:rPr>
        <w:t>selección el IDU limitará la participación de los proponentes únicamente a MIPYMES colombianas  siempre y cuando se reúnan las condiciones previstas  por la norma antes citada, es decir  que a la fecha de la convocatoria realizada para este proceso tuviere</w:t>
      </w:r>
      <w:r>
        <w:rPr>
          <w:highlight w:val="yellow"/>
        </w:rPr>
        <w:t>n por lo menos un (1) año de constituidas, con domicilio principal en el Departamento de Cundinamarca, bien sean personas jurídicas o naturales, ya sea de manera individual o conformando Proponentes Plurales a través de Consorcio o Unión Temporal entre MIP</w:t>
      </w:r>
      <w:r>
        <w:rPr>
          <w:highlight w:val="yellow"/>
        </w:rPr>
        <w:t>YMES colombianas domiciliadas en Cundinamarca y que la cuantía  del proceso sea inferior a 125.000 dólares de los Estados Unidos de América (US$125.000), liquidados con la tasa de cambio que para el efecto determina cada dos años el Ministerio de Comercio,</w:t>
      </w:r>
      <w:r>
        <w:rPr>
          <w:highlight w:val="yellow"/>
        </w:rPr>
        <w:t xml:space="preserve"> Industria y Turismo y se hayan recibido solicitudes en dicho sentido de por lo menos  dos (2) mipymes nacionales antes de la apertura del proceso.</w:t>
      </w:r>
    </w:p>
    <w:p w:rsidR="00522688" w:rsidRDefault="00522688">
      <w:pPr>
        <w:ind w:hanging="2"/>
        <w:rPr>
          <w:highlight w:val="yellow"/>
        </w:rPr>
      </w:pPr>
    </w:p>
    <w:p w:rsidR="00522688" w:rsidRDefault="004E4FBB">
      <w:pPr>
        <w:ind w:hanging="2"/>
        <w:rPr>
          <w:highlight w:val="yellow"/>
        </w:rPr>
      </w:pPr>
      <w:r>
        <w:rPr>
          <w:highlight w:val="yellow"/>
        </w:rPr>
        <w:t xml:space="preserve">Las </w:t>
      </w:r>
      <w:r>
        <w:rPr>
          <w:b/>
          <w:highlight w:val="yellow"/>
        </w:rPr>
        <w:t xml:space="preserve">MIPYMES </w:t>
      </w:r>
      <w:r>
        <w:rPr>
          <w:highlight w:val="yellow"/>
        </w:rPr>
        <w:t>DEL DEPARTAMENTO DE CUNDINAMARCA interesadas en participar en el presente proceso, deberán pres</w:t>
      </w:r>
      <w:r>
        <w:rPr>
          <w:highlight w:val="yellow"/>
        </w:rPr>
        <w:t xml:space="preserve">entar SOLICITUD DE LIMITACION A MIPYMES, a partir de la fecha de </w:t>
      </w:r>
      <w:r>
        <w:rPr>
          <w:highlight w:val="yellow"/>
        </w:rPr>
        <w:lastRenderedPageBreak/>
        <w:t>publicación del aviso de convocatoria y hasta un (1) día hábil antes de la expedición del acto administrativo de apertura del proceso de selección, después de esta fecha NO SE RECIBIRÁN solic</w:t>
      </w:r>
      <w:r>
        <w:rPr>
          <w:highlight w:val="yellow"/>
        </w:rPr>
        <w:t>itudes de limitación a MIPYMES.</w:t>
      </w:r>
    </w:p>
    <w:p w:rsidR="00522688" w:rsidRDefault="00522688"/>
    <w:p w:rsidR="00522688" w:rsidRDefault="004E4FBB">
      <w:pPr>
        <w:ind w:hanging="2"/>
        <w:rPr>
          <w:highlight w:val="yellow"/>
        </w:rPr>
      </w:pPr>
      <w:r>
        <w:rPr>
          <w:highlight w:val="yellow"/>
        </w:rPr>
        <w:t xml:space="preserve">La solicitud de limitación a MIPYMES se hará únicamente mediante la opción </w:t>
      </w:r>
      <w:r>
        <w:rPr>
          <w:b/>
          <w:highlight w:val="yellow"/>
          <w:u w:val="single"/>
        </w:rPr>
        <w:t xml:space="preserve">MENSAJES </w:t>
      </w:r>
      <w:r>
        <w:rPr>
          <w:highlight w:val="yellow"/>
          <w:u w:val="single"/>
        </w:rPr>
        <w:t>de la plataforma SECOP II</w:t>
      </w:r>
      <w:r>
        <w:rPr>
          <w:highlight w:val="yellow"/>
        </w:rPr>
        <w:t>.</w:t>
      </w:r>
    </w:p>
    <w:p w:rsidR="00522688" w:rsidRDefault="00522688">
      <w:pPr>
        <w:ind w:left="284" w:hanging="1"/>
        <w:rPr>
          <w:highlight w:val="yellow"/>
        </w:rPr>
      </w:pPr>
    </w:p>
    <w:p w:rsidR="00522688" w:rsidRDefault="004E4FBB">
      <w:pPr>
        <w:ind w:left="284" w:hanging="1"/>
        <w:rPr>
          <w:highlight w:val="yellow"/>
        </w:rPr>
      </w:pPr>
      <w:r>
        <w:rPr>
          <w:highlight w:val="yellow"/>
        </w:rPr>
        <w:t>Tratándose de personas jurídicas, las solicitudes solo las podrán realizar Mipymes, cuyo objeto social les permita ejecutar el contrato relacionado con el proceso contractual.</w:t>
      </w:r>
    </w:p>
    <w:p w:rsidR="00522688" w:rsidRDefault="00522688">
      <w:pPr>
        <w:ind w:left="284" w:hanging="1"/>
        <w:rPr>
          <w:highlight w:val="yellow"/>
        </w:rPr>
      </w:pPr>
    </w:p>
    <w:p w:rsidR="00522688" w:rsidRDefault="004E4FBB">
      <w:pPr>
        <w:ind w:left="284" w:hanging="1"/>
        <w:rPr>
          <w:highlight w:val="yellow"/>
        </w:rPr>
      </w:pPr>
      <w:r>
        <w:rPr>
          <w:highlight w:val="yellow"/>
        </w:rPr>
        <w:t>La solicitud de limitación a MIPYMES deberá contener además de la solicitud cla</w:t>
      </w:r>
      <w:r>
        <w:rPr>
          <w:highlight w:val="yellow"/>
        </w:rPr>
        <w:t xml:space="preserve">ra de limitación a MIPYMES, lo siguiente:  </w:t>
      </w:r>
    </w:p>
    <w:p w:rsidR="00522688" w:rsidRDefault="00522688">
      <w:pPr>
        <w:ind w:left="284" w:hanging="1"/>
        <w:rPr>
          <w:highlight w:val="yellow"/>
        </w:rPr>
      </w:pPr>
    </w:p>
    <w:p w:rsidR="00522688" w:rsidRDefault="004E4FBB">
      <w:pPr>
        <w:numPr>
          <w:ilvl w:val="0"/>
          <w:numId w:val="31"/>
        </w:numPr>
        <w:pBdr>
          <w:top w:val="nil"/>
          <w:left w:val="nil"/>
          <w:bottom w:val="nil"/>
          <w:right w:val="nil"/>
          <w:between w:val="nil"/>
        </w:pBdr>
        <w:ind w:left="284" w:right="51" w:hanging="1"/>
        <w:rPr>
          <w:color w:val="000000"/>
          <w:highlight w:val="yellow"/>
        </w:rPr>
      </w:pPr>
      <w:r>
        <w:rPr>
          <w:color w:val="000000"/>
          <w:highlight w:val="yellow"/>
        </w:rPr>
        <w:t xml:space="preserve">Acreditar la condición de </w:t>
      </w:r>
      <w:r>
        <w:rPr>
          <w:b/>
          <w:color w:val="000000"/>
          <w:highlight w:val="yellow"/>
        </w:rPr>
        <w:t>MIPYME</w:t>
      </w:r>
      <w:r>
        <w:rPr>
          <w:color w:val="000000"/>
          <w:highlight w:val="yellow"/>
        </w:rPr>
        <w:t xml:space="preserve"> de acuerdo con los requisitos establecidos en el artículo 2.2.1.2.4.2.4 del decreto 1082 de 2015,</w:t>
      </w:r>
      <w:r>
        <w:rPr>
          <w:highlight w:val="yellow"/>
        </w:rPr>
        <w:t xml:space="preserve"> modificado por el artículo 5 del decreto 1860 de 2021</w:t>
      </w:r>
      <w:r>
        <w:rPr>
          <w:color w:val="000000"/>
          <w:highlight w:val="yellow"/>
        </w:rPr>
        <w:t>.</w:t>
      </w:r>
    </w:p>
    <w:p w:rsidR="00522688" w:rsidRDefault="00522688">
      <w:pPr>
        <w:ind w:left="284" w:hanging="1"/>
        <w:rPr>
          <w:highlight w:val="yellow"/>
        </w:rPr>
      </w:pPr>
    </w:p>
    <w:p w:rsidR="00522688" w:rsidRDefault="004E4FBB">
      <w:pPr>
        <w:numPr>
          <w:ilvl w:val="0"/>
          <w:numId w:val="31"/>
        </w:numPr>
        <w:ind w:left="284" w:right="51" w:hanging="1"/>
        <w:rPr>
          <w:highlight w:val="yellow"/>
        </w:rPr>
      </w:pPr>
      <w:r>
        <w:rPr>
          <w:highlight w:val="yellow"/>
        </w:rPr>
        <w:t xml:space="preserve">Acreditar la antigüedad </w:t>
      </w:r>
      <w:r>
        <w:rPr>
          <w:highlight w:val="yellow"/>
        </w:rPr>
        <w:t xml:space="preserve">de mínimo un (1) año de existencia con respecto a la fecha de la convocatoria del presente proceso para lo cual deberá presentar </w:t>
      </w:r>
      <w:r>
        <w:rPr>
          <w:b/>
          <w:highlight w:val="yellow"/>
        </w:rPr>
        <w:t>Registro Mercantil o el Certificado de Existencia y Representación Legal</w:t>
      </w:r>
      <w:r>
        <w:rPr>
          <w:highlight w:val="yellow"/>
        </w:rPr>
        <w:t>.</w:t>
      </w:r>
    </w:p>
    <w:p w:rsidR="00522688" w:rsidRDefault="00522688">
      <w:pPr>
        <w:ind w:left="284" w:hanging="1"/>
        <w:rPr>
          <w:highlight w:val="yellow"/>
        </w:rPr>
      </w:pPr>
    </w:p>
    <w:p w:rsidR="00522688" w:rsidRDefault="004E4FBB">
      <w:pPr>
        <w:numPr>
          <w:ilvl w:val="0"/>
          <w:numId w:val="31"/>
        </w:numPr>
        <w:ind w:left="284" w:right="51" w:hanging="1"/>
        <w:rPr>
          <w:highlight w:val="yellow"/>
        </w:rPr>
      </w:pPr>
      <w:r>
        <w:rPr>
          <w:highlight w:val="yellow"/>
        </w:rPr>
        <w:t>Acreditar que su domicilio principal está en el Depa</w:t>
      </w:r>
      <w:r>
        <w:rPr>
          <w:highlight w:val="yellow"/>
        </w:rPr>
        <w:t xml:space="preserve">rtamento de Cundinamarca, (Lugar de ejecución del contrato), para lo cual se entiende como domicilio principal, la dirección que la </w:t>
      </w:r>
      <w:r>
        <w:rPr>
          <w:b/>
          <w:highlight w:val="yellow"/>
        </w:rPr>
        <w:t xml:space="preserve">MIPYME tenga </w:t>
      </w:r>
      <w:r>
        <w:rPr>
          <w:highlight w:val="yellow"/>
        </w:rPr>
        <w:t>en su Registro Mercantil ó el Certificado de Existencia y Representación Legal, de conformidad con el Decreto 1</w:t>
      </w:r>
      <w:r>
        <w:rPr>
          <w:highlight w:val="yellow"/>
        </w:rPr>
        <w:t xml:space="preserve">082 de 2015 o las demás normas que lo modifiquen, sustituyan o adicionen. </w:t>
      </w:r>
    </w:p>
    <w:p w:rsidR="00522688" w:rsidRDefault="00522688">
      <w:pPr>
        <w:pBdr>
          <w:top w:val="nil"/>
          <w:left w:val="nil"/>
          <w:bottom w:val="nil"/>
          <w:right w:val="nil"/>
          <w:between w:val="nil"/>
        </w:pBdr>
        <w:ind w:left="284" w:hanging="1"/>
        <w:rPr>
          <w:color w:val="000000"/>
          <w:highlight w:val="yellow"/>
        </w:rPr>
      </w:pPr>
    </w:p>
    <w:p w:rsidR="00522688" w:rsidRDefault="004E4FBB">
      <w:pPr>
        <w:numPr>
          <w:ilvl w:val="0"/>
          <w:numId w:val="31"/>
        </w:numPr>
        <w:ind w:left="284" w:right="51" w:hanging="1"/>
        <w:rPr>
          <w:highlight w:val="yellow"/>
        </w:rPr>
      </w:pPr>
      <w:r>
        <w:rPr>
          <w:highlight w:val="yellow"/>
        </w:rPr>
        <w:t xml:space="preserve">La Entidad Estatal debe recibir por lo menos dos (2) manifestaciones de Mipymes nacionales para limitar la convocatoria. </w:t>
      </w:r>
    </w:p>
    <w:p w:rsidR="00522688" w:rsidRDefault="00522688"/>
    <w:p w:rsidR="00522688" w:rsidRDefault="00522688"/>
    <w:p w:rsidR="00522688" w:rsidRDefault="004E4FBB">
      <w:r>
        <w:t>Los interesados manifestarán su intención de limitar las convocatorias a Mipyme en la sección mensajes o en el módulo dispuesto en la plataforma del SECOP II. Asimismo, los interesados deberán acreditar el cumplimiento de los requisitos definidos en el art</w:t>
      </w:r>
      <w:r>
        <w:t>ículo 2.2.1.2.4.2.4 del Decreto 1082 de 2015 o la norma que lo modifique, sustituya o complemente, para lo cual diligenciarán el Formato 14 – Acreditación de Mipyme y aportarán los soportes requeridos para que proceda la limitación de la convocatoria a Mip</w:t>
      </w:r>
      <w:r>
        <w:t>yme. En caso de que la condición de Mipyme se pruebe con la presentación del RUP, en los términos contemplados en el artículo 2.2.1.2.4.2.4 del Decreto 1082 de 2015, no será necesario presentar el formato indicado.</w:t>
      </w:r>
    </w:p>
    <w:p w:rsidR="00522688" w:rsidRDefault="00522688"/>
    <w:p w:rsidR="00522688" w:rsidRDefault="004E4FBB">
      <w:r>
        <w:rPr>
          <w:highlight w:val="lightGray"/>
        </w:rPr>
        <w:t xml:space="preserve">[En el Pliego de Condiciones definitivo </w:t>
      </w:r>
      <w:r>
        <w:rPr>
          <w:highlight w:val="lightGray"/>
        </w:rPr>
        <w:t>se incluirá lo siguiente:]</w:t>
      </w:r>
    </w:p>
    <w:p w:rsidR="00522688" w:rsidRDefault="00522688"/>
    <w:p w:rsidR="00522688" w:rsidRDefault="004E4FBB">
      <w:r>
        <w:rPr>
          <w:highlight w:val="lightGray"/>
        </w:rPr>
        <w:t>[Para los procesos adelantados en el SECOP II, la Entidad, en atención a las solicitudes realizadas por los interesados para limitar la convocatoria a Mipyme, incluirá la limitación del Proceso de Contratación a Mipyme en el esp</w:t>
      </w:r>
      <w:r>
        <w:rPr>
          <w:highlight w:val="lightGray"/>
        </w:rPr>
        <w:t>acio dispuesto por la plataforma del SECOP II.]</w:t>
      </w:r>
    </w:p>
    <w:p w:rsidR="00522688" w:rsidRDefault="00522688"/>
    <w:p w:rsidR="00522688" w:rsidRDefault="004E4FBB">
      <w:pPr>
        <w:ind w:left="284" w:hanging="1"/>
        <w:rPr>
          <w:i/>
          <w:highlight w:val="yellow"/>
        </w:rPr>
      </w:pPr>
      <w:r>
        <w:rPr>
          <w:i/>
          <w:highlight w:val="yellow"/>
        </w:rPr>
        <w:t>SI CUMPLIDO EL PLAZO PARA LA SOLICITUD DE LIMITACIÓN DEL PROCESO A MIPYMES EL PROCESO ES LIMITADO, EN EL PLIEGO DE CONDICIONES DEFINITIVO SE DEBE ADICIONAR EL SIGUIENTE TEXTO, ELIMINANDO LOS 2 NUMERALES ANTE</w:t>
      </w:r>
      <w:r>
        <w:rPr>
          <w:i/>
          <w:highlight w:val="yellow"/>
        </w:rPr>
        <w:t>RIORES)</w:t>
      </w:r>
    </w:p>
    <w:p w:rsidR="00522688" w:rsidRDefault="00522688">
      <w:pPr>
        <w:ind w:left="284" w:hanging="1"/>
        <w:rPr>
          <w:highlight w:val="yellow"/>
        </w:rPr>
      </w:pPr>
    </w:p>
    <w:p w:rsidR="00522688" w:rsidRDefault="004E4FBB">
      <w:pPr>
        <w:pStyle w:val="Ttulo3"/>
        <w:keepLines w:val="0"/>
        <w:tabs>
          <w:tab w:val="left" w:pos="993"/>
        </w:tabs>
        <w:ind w:left="284" w:hanging="1"/>
        <w:rPr>
          <w:b w:val="0"/>
          <w:highlight w:val="yellow"/>
        </w:rPr>
      </w:pPr>
      <w:r>
        <w:rPr>
          <w:highlight w:val="yellow"/>
        </w:rPr>
        <w:t>2.3.2 ACREDITACIÓN DE LA CONDICIÓN DE MIPYME</w:t>
      </w:r>
    </w:p>
    <w:p w:rsidR="00522688" w:rsidRDefault="00522688">
      <w:pPr>
        <w:ind w:left="284" w:hanging="1"/>
        <w:rPr>
          <w:b/>
          <w:highlight w:val="yellow"/>
        </w:rPr>
      </w:pPr>
    </w:p>
    <w:p w:rsidR="00522688" w:rsidRDefault="004E4FBB">
      <w:pPr>
        <w:ind w:left="284" w:hanging="1"/>
        <w:rPr>
          <w:highlight w:val="yellow"/>
        </w:rPr>
      </w:pPr>
      <w:r>
        <w:rPr>
          <w:highlight w:val="yellow"/>
        </w:rPr>
        <w:lastRenderedPageBreak/>
        <w:t>Para la acreditación de la condición de MIPYME el proponente individual y todos y cada uno de los integrantes de los Consorcios o Uniones Temporales, deberán anexar:</w:t>
      </w:r>
    </w:p>
    <w:p w:rsidR="00522688" w:rsidRDefault="00522688">
      <w:pPr>
        <w:ind w:left="284" w:hanging="1"/>
        <w:rPr>
          <w:highlight w:val="yellow"/>
        </w:rPr>
      </w:pPr>
    </w:p>
    <w:p w:rsidR="00522688" w:rsidRDefault="004E4FBB">
      <w:pPr>
        <w:numPr>
          <w:ilvl w:val="0"/>
          <w:numId w:val="33"/>
        </w:numPr>
        <w:ind w:left="284" w:right="51" w:hanging="1"/>
        <w:rPr>
          <w:highlight w:val="yellow"/>
        </w:rPr>
      </w:pPr>
      <w:r>
        <w:rPr>
          <w:highlight w:val="yellow"/>
        </w:rPr>
        <w:t xml:space="preserve">Acreditar la condición de </w:t>
      </w:r>
      <w:r>
        <w:rPr>
          <w:b/>
          <w:highlight w:val="yellow"/>
        </w:rPr>
        <w:t>MIPYME</w:t>
      </w:r>
      <w:r>
        <w:rPr>
          <w:highlight w:val="yellow"/>
        </w:rPr>
        <w:t xml:space="preserve">, </w:t>
      </w:r>
      <w:r>
        <w:rPr>
          <w:color w:val="000000"/>
          <w:highlight w:val="yellow"/>
        </w:rPr>
        <w:t>de acuerdo con los requisitos establecidos en el artículo 2.2.1.2.4.2.4 del decreto 1082 de 2015,</w:t>
      </w:r>
      <w:r>
        <w:rPr>
          <w:highlight w:val="yellow"/>
        </w:rPr>
        <w:t xml:space="preserve"> modificado por el artículo 5 del decreto 1860 de 2021</w:t>
      </w:r>
      <w:r>
        <w:rPr>
          <w:color w:val="000000"/>
          <w:highlight w:val="yellow"/>
        </w:rPr>
        <w:t>.</w:t>
      </w:r>
    </w:p>
    <w:p w:rsidR="00522688" w:rsidRDefault="00522688">
      <w:pPr>
        <w:ind w:left="284" w:hanging="1"/>
        <w:rPr>
          <w:highlight w:val="yellow"/>
        </w:rPr>
      </w:pPr>
    </w:p>
    <w:p w:rsidR="00522688" w:rsidRDefault="004E4FBB">
      <w:pPr>
        <w:numPr>
          <w:ilvl w:val="0"/>
          <w:numId w:val="33"/>
        </w:numPr>
        <w:ind w:left="284" w:right="51" w:hanging="1"/>
        <w:rPr>
          <w:highlight w:val="yellow"/>
        </w:rPr>
      </w:pPr>
      <w:r>
        <w:rPr>
          <w:highlight w:val="yellow"/>
        </w:rPr>
        <w:t xml:space="preserve">Acreditar la antigüedad de mínimo un (1) año de existencia con respecto a la fecha de la convocatoria </w:t>
      </w:r>
      <w:r>
        <w:rPr>
          <w:highlight w:val="yellow"/>
        </w:rPr>
        <w:t xml:space="preserve">del presente proceso para lo cual deberá presentar </w:t>
      </w:r>
      <w:r>
        <w:rPr>
          <w:b/>
          <w:highlight w:val="yellow"/>
        </w:rPr>
        <w:t>Registro Mercantil ó el Certificado de Existencia y Representación Legal</w:t>
      </w:r>
      <w:r>
        <w:rPr>
          <w:highlight w:val="yellow"/>
        </w:rPr>
        <w:t>.</w:t>
      </w:r>
    </w:p>
    <w:p w:rsidR="00522688" w:rsidRDefault="00522688">
      <w:pPr>
        <w:ind w:left="284" w:hanging="1"/>
        <w:rPr>
          <w:highlight w:val="yellow"/>
        </w:rPr>
      </w:pPr>
    </w:p>
    <w:p w:rsidR="00522688" w:rsidRDefault="004E4FBB">
      <w:pPr>
        <w:numPr>
          <w:ilvl w:val="0"/>
          <w:numId w:val="33"/>
        </w:numPr>
        <w:ind w:left="284" w:right="51" w:hanging="1"/>
        <w:rPr>
          <w:highlight w:val="yellow"/>
        </w:rPr>
      </w:pPr>
      <w:r>
        <w:rPr>
          <w:highlight w:val="yellow"/>
        </w:rPr>
        <w:t>Acreditar que su domicilio principal está en el Departamento de Cundinamarca, (Lugar de ejecución del contrato), para lo cual se e</w:t>
      </w:r>
      <w:r>
        <w:rPr>
          <w:highlight w:val="yellow"/>
        </w:rPr>
        <w:t xml:space="preserve">ntiende como domicilio principal, la dirección que la </w:t>
      </w:r>
      <w:r>
        <w:rPr>
          <w:b/>
          <w:highlight w:val="yellow"/>
        </w:rPr>
        <w:t xml:space="preserve">MIPYME tenga </w:t>
      </w:r>
      <w:r>
        <w:rPr>
          <w:highlight w:val="yellow"/>
        </w:rPr>
        <w:t xml:space="preserve">en su Registro Mercantil ó el Certificado de Existencia y Representación Legal, de conformidad con el Decreto 1082 de 2015, o las demás normas que lo modifiquen, sustituyan o adicionen. </w:t>
      </w:r>
    </w:p>
    <w:p w:rsidR="00522688" w:rsidRDefault="00522688"/>
    <w:p w:rsidR="00522688" w:rsidRDefault="004E4FBB">
      <w:pPr>
        <w:pStyle w:val="Ttulo2"/>
        <w:numPr>
          <w:ilvl w:val="1"/>
          <w:numId w:val="15"/>
        </w:numPr>
        <w:ind w:left="709" w:hanging="709"/>
      </w:pPr>
      <w:bookmarkStart w:id="26" w:name="_heading=h.2bn6wsx" w:colFirst="0" w:colLast="0"/>
      <w:bookmarkEnd w:id="26"/>
      <w:r>
        <w:t>ELABORACIÓN Y PRESENTACIÓN DE LA OFERTA</w:t>
      </w:r>
    </w:p>
    <w:p w:rsidR="00522688" w:rsidRDefault="00522688"/>
    <w:p w:rsidR="00522688" w:rsidRDefault="004E4FBB">
      <w:r>
        <w:rPr>
          <w:highlight w:val="yellow"/>
        </w:rPr>
        <w:t>La oferta estará conformada por un Sobre, el cual contendrá los documentos e información de los requisitos habilitantes, la oferta económica y los documentos a los que se les asigne puntaje, y deberá ser entregada c</w:t>
      </w:r>
      <w:r>
        <w:rPr>
          <w:highlight w:val="yellow"/>
        </w:rPr>
        <w:t>on el cumplimiento de la totalidad de los requisitos establecidos en los Documentos del Proceso.</w:t>
      </w:r>
      <w:r>
        <w:t xml:space="preserve"> </w:t>
      </w:r>
    </w:p>
    <w:p w:rsidR="00522688" w:rsidRDefault="00522688"/>
    <w:p w:rsidR="00522688" w:rsidRDefault="004E4FBB">
      <w:r>
        <w:t>Los documentos se adjuntarán de acuerdo con el orden requerido en el cuestionario por la Entidad Estatal, los cuales deben ser legibles y escaneados correcta</w:t>
      </w:r>
      <w:r>
        <w:t>mente.</w:t>
      </w:r>
    </w:p>
    <w:p w:rsidR="00522688" w:rsidRDefault="00522688"/>
    <w:p w:rsidR="00522688" w:rsidRDefault="004E4FBB">
      <w:r>
        <w:t xml:space="preserve">La Entidad solo recibirá una oferta por Proponente, </w:t>
      </w:r>
      <w:r>
        <w:rPr>
          <w:highlight w:val="yellow"/>
        </w:rPr>
        <w:t>(salvo los procesos estructurados por lotes o grupos cuando la Entidad haya establecido esta posibilidad).</w:t>
      </w:r>
      <w:r>
        <w:t xml:space="preserve"> El Proponente deberá cumplir con el Manual de Usos y Condiciones de la plataforma.</w:t>
      </w:r>
    </w:p>
    <w:p w:rsidR="00522688" w:rsidRDefault="00522688"/>
    <w:p w:rsidR="00522688" w:rsidRDefault="004E4FBB">
      <w:r>
        <w:t>Estarán a cargo del Proponente todos los costos asociados a la elaboración y presentación de su oferta y en ningún caso la Entidad contratante será responsable de estos.</w:t>
      </w:r>
    </w:p>
    <w:p w:rsidR="00522688" w:rsidRDefault="00522688"/>
    <w:p w:rsidR="00522688" w:rsidRDefault="004E4FBB">
      <w:r>
        <w:t>Las tachaduras y/o enmendaduras sobre alguno de los documentos que acreditan los requ</w:t>
      </w:r>
      <w:r>
        <w:t>isitos habilitantes o los factores de evaluación de la oferta, debe estar salvado con la firma de quien suscribe el correspondiente documento al pie de la misma y nota al margen del documento donde manifieste clara y expresamente la corrección realizada.</w:t>
      </w:r>
    </w:p>
    <w:p w:rsidR="00522688" w:rsidRDefault="00522688"/>
    <w:p w:rsidR="00522688" w:rsidRDefault="004E4FBB">
      <w:pPr>
        <w:pStyle w:val="Ttulo2"/>
        <w:numPr>
          <w:ilvl w:val="1"/>
          <w:numId w:val="15"/>
        </w:numPr>
        <w:ind w:left="709" w:hanging="709"/>
      </w:pPr>
      <w:bookmarkStart w:id="27" w:name="_heading=h.qsh70q" w:colFirst="0" w:colLast="0"/>
      <w:bookmarkEnd w:id="27"/>
      <w:r>
        <w:t>CIERRE DEL PROCESO Y APERTURA DE LAS OFERTAS</w:t>
      </w:r>
    </w:p>
    <w:p w:rsidR="00522688" w:rsidRDefault="00522688"/>
    <w:p w:rsidR="00522688" w:rsidRDefault="004E4FBB">
      <w:r>
        <w:t>Se entienden recibidas por la Entidad las ofertas que se encuentren en la plataforma del SECOP II a la fecha y hora indicada en el Cronograma del proceso, después de este momento el SECOP II no permitirá recibi</w:t>
      </w:r>
      <w:r>
        <w:t>r más propuestas por excederse del tiempo señalado en el Cronograma.</w:t>
      </w:r>
    </w:p>
    <w:p w:rsidR="00522688" w:rsidRDefault="00522688"/>
    <w:p w:rsidR="00522688" w:rsidRDefault="004E4FBB">
      <w:r>
        <w:t>Vencido el término para presentar ofertas, la Entidad Estatal debe realizar su apertura y publicar la lista de oferentes. Luego de la apertura, las propuestas son públicas y cualquier pe</w:t>
      </w:r>
      <w:r>
        <w:t>rsona puede consultarlas. La Entidad Estatal dará a conocer las ofertas presentadas en el Proceso de Contratación haciendo clic en la opción “publicar ofertas”, para que sean visibles a todos los Proponentes y los interesados en el proceso.</w:t>
      </w:r>
    </w:p>
    <w:p w:rsidR="00522688" w:rsidRDefault="00522688"/>
    <w:p w:rsidR="00522688" w:rsidRDefault="004E4FBB">
      <w:r>
        <w:t>Se darán por n</w:t>
      </w:r>
      <w:r>
        <w:t xml:space="preserve">o presentadas las propuestas que no hayan sido entregadas en la plataforma y en el plazo previsto para ello en el Pliego de Condiciones. No se tendrán como recibidas las ofertas </w:t>
      </w:r>
      <w:r>
        <w:lastRenderedPageBreak/>
        <w:t>allegadas por medios distintos al SECOP II, para asegurar la efectiva transmis</w:t>
      </w:r>
      <w:r>
        <w:t>ión de los datos y garantizar el cumplimiento estricto de los Términos y Condiciones de Uso del SECOP II.</w:t>
      </w:r>
    </w:p>
    <w:p w:rsidR="00522688" w:rsidRDefault="00522688"/>
    <w:p w:rsidR="00522688" w:rsidRDefault="004E4FBB">
      <w:r>
        <w:t>Sin embargo, cuando haya una indisponibilidad del SECOP II, la cual haya sido confirmada por Colombia Compra Eficiente mediante certificado de indisp</w:t>
      </w:r>
      <w:r>
        <w:t xml:space="preserve">onibilidad, la Entidad Estatal podrá recibir ofertas en los términos y condiciones establecidos en el “Protocolo para actuar ante una indisponibilidad del SECOP II” o en el documento que Colombia Compra Eficiente determine para ello. </w:t>
      </w:r>
      <w:r>
        <w:rPr>
          <w:highlight w:val="lightGray"/>
        </w:rPr>
        <w:t xml:space="preserve">[Puede consultarlo en </w:t>
      </w:r>
      <w:r>
        <w:rPr>
          <w:highlight w:val="lightGray"/>
        </w:rPr>
        <w:t xml:space="preserve">el siguiente enlace: </w:t>
      </w:r>
      <w:hyperlink r:id="rId15">
        <w:r>
          <w:rPr>
            <w:color w:val="0563C1"/>
            <w:highlight w:val="lightGray"/>
            <w:u w:val="single"/>
          </w:rPr>
          <w:t>https://www.colombiacompra.gov.co/secop-ii/indisponibilidad-en-el-secop-ii</w:t>
        </w:r>
      </w:hyperlink>
      <w:r>
        <w:rPr>
          <w:highlight w:val="lightGray"/>
        </w:rPr>
        <w:t>]</w:t>
      </w:r>
    </w:p>
    <w:p w:rsidR="00522688" w:rsidRDefault="00522688"/>
    <w:p w:rsidR="00522688" w:rsidRDefault="004E4FBB">
      <w:r>
        <w:t>La Entidad no será responsable por abrir el Sobre incorrectament</w:t>
      </w:r>
      <w:r>
        <w:t>e dirigido o sin la identificación adecuada.</w:t>
      </w:r>
    </w:p>
    <w:p w:rsidR="00522688" w:rsidRDefault="00522688"/>
    <w:p w:rsidR="00522688" w:rsidRDefault="004E4FBB">
      <w:pPr>
        <w:pStyle w:val="Ttulo2"/>
        <w:numPr>
          <w:ilvl w:val="1"/>
          <w:numId w:val="15"/>
        </w:numPr>
        <w:ind w:left="709" w:hanging="709"/>
      </w:pPr>
      <w:bookmarkStart w:id="28" w:name="_heading=h.3as4poj" w:colFirst="0" w:colLast="0"/>
      <w:bookmarkEnd w:id="28"/>
      <w:r>
        <w:t>INFORME DE EVALUACIÓN</w:t>
      </w:r>
    </w:p>
    <w:p w:rsidR="00522688" w:rsidRDefault="00522688"/>
    <w:p w:rsidR="00522688" w:rsidRDefault="004E4FBB">
      <w:r>
        <w:t>En la fecha establecida en el “Anexo 2 – Cronograma”, la Entidad publicará el informe de evaluación, el cual debe contener la evaluación de los requisitos habilitantes, la calificación té</w:t>
      </w:r>
      <w:r>
        <w:t>cnica y el orden de elegibilidad, por lo que incluye la asignación de puntaje.</w:t>
      </w:r>
    </w:p>
    <w:p w:rsidR="00522688" w:rsidRDefault="00522688"/>
    <w:p w:rsidR="00522688" w:rsidRDefault="004E4FBB">
      <w:r>
        <w:t>El informe de evaluación permanecerá publicado en el SECOP y a disposición de los interesados durante tres (3) días hábiles, término hasta el cual los Proponentes podrán hacer las observaciones que consideren procedentes y entregar los documentos y la info</w:t>
      </w:r>
      <w:r>
        <w:t>rmación solicitada por la Entidad en las condiciones señaladas en la sección 1.6.</w:t>
      </w:r>
    </w:p>
    <w:p w:rsidR="00522688" w:rsidRDefault="00522688"/>
    <w:p w:rsidR="00522688" w:rsidRDefault="004E4FBB">
      <w:r>
        <w:t>Con posterioridad al vencimiento del plazo para presentar observaciones y a más tardar el día antes de la adjudicación hasta las 11:59 p.m., de acuerdo con lo señalado en el</w:t>
      </w:r>
      <w:r>
        <w:t xml:space="preserve"> “Anexo 2 – Cronograma”, la Entidad debe publicar el informe final de evaluación, en caso de que el inicial hubiere sufrido variaciones.</w:t>
      </w:r>
    </w:p>
    <w:p w:rsidR="00522688" w:rsidRDefault="00522688"/>
    <w:p w:rsidR="00522688" w:rsidRDefault="004E4FBB">
      <w:pPr>
        <w:pStyle w:val="Ttulo2"/>
        <w:numPr>
          <w:ilvl w:val="1"/>
          <w:numId w:val="15"/>
        </w:numPr>
        <w:ind w:left="709" w:hanging="709"/>
      </w:pPr>
      <w:bookmarkStart w:id="29" w:name="_heading=h.1pxezwc" w:colFirst="0" w:colLast="0"/>
      <w:bookmarkEnd w:id="29"/>
      <w:r>
        <w:t>ADJUDICACIÓN</w:t>
      </w:r>
    </w:p>
    <w:p w:rsidR="00522688" w:rsidRDefault="00522688"/>
    <w:p w:rsidR="00522688" w:rsidRDefault="004E4FBB">
      <w:r>
        <w:t>En la fecha establecida en el Anexo 2 – Cronograma, la Entidad mediante acto administrativo adjudicará e</w:t>
      </w:r>
      <w:r>
        <w:t xml:space="preserve">l proceso al Proponente ubicado en el primer lugar del orden de elegibilidad y cuya oferta económica esté acorde con el presupuesto del Proceso de Contratación. </w:t>
      </w:r>
    </w:p>
    <w:p w:rsidR="00522688" w:rsidRDefault="00522688"/>
    <w:p w:rsidR="00522688" w:rsidRDefault="004E4FBB">
      <w:r>
        <w:t xml:space="preserve">La Entidad procederá a instalar y desarrollar la audiencia para comunicar la respuesta a las </w:t>
      </w:r>
      <w:r>
        <w:t>observaciones frente al informe de evaluación y establecer el orden de elegibilidad. La Entidad iniciará la audiencia comunicando la respuesta a las observaciones frente al informe de evaluación, sin que ello implique una nueva oportunidad para presentar o</w:t>
      </w:r>
      <w:r>
        <w:t>bservaciones. Con posterioridad a ello se fijará el orden de elegibilidad a través de la sumatoria de los puntajes obtenidos por las propuestas para cada uno de los criterios contenidos en el CAPÍTULO IV ordenados de mayor a menor.</w:t>
      </w:r>
    </w:p>
    <w:p w:rsidR="00522688" w:rsidRDefault="00522688">
      <w:pPr>
        <w:rPr>
          <w:highlight w:val="lightGray"/>
        </w:rPr>
      </w:pPr>
    </w:p>
    <w:p w:rsidR="00522688" w:rsidRDefault="004E4FBB">
      <w:pPr>
        <w:numPr>
          <w:ilvl w:val="2"/>
          <w:numId w:val="15"/>
        </w:numPr>
        <w:pBdr>
          <w:top w:val="nil"/>
          <w:left w:val="nil"/>
          <w:bottom w:val="nil"/>
          <w:right w:val="nil"/>
          <w:between w:val="nil"/>
        </w:pBdr>
        <w:rPr>
          <w:b/>
          <w:color w:val="000000"/>
          <w:highlight w:val="yellow"/>
        </w:rPr>
      </w:pPr>
      <w:r>
        <w:rPr>
          <w:b/>
          <w:color w:val="000000"/>
          <w:highlight w:val="yellow"/>
        </w:rPr>
        <w:t>Orden de adjudicación d</w:t>
      </w:r>
      <w:r>
        <w:rPr>
          <w:b/>
          <w:color w:val="000000"/>
          <w:highlight w:val="yellow"/>
        </w:rPr>
        <w:t>e los LOTES (ELIMINAR EL SUBNUMERAL SI EL PROCESO NO ES ESTRUCTURADO POR GRUPOS)</w:t>
      </w:r>
    </w:p>
    <w:p w:rsidR="00522688" w:rsidRDefault="00522688">
      <w:pPr>
        <w:rPr>
          <w:highlight w:val="yellow"/>
        </w:rPr>
      </w:pPr>
    </w:p>
    <w:p w:rsidR="00522688" w:rsidRDefault="004E4FBB">
      <w:pPr>
        <w:rPr>
          <w:highlight w:val="yellow"/>
        </w:rPr>
      </w:pPr>
      <w:r>
        <w:rPr>
          <w:highlight w:val="yellow"/>
        </w:rPr>
        <w:t>El orden de adjudicación de los LOTES se establece de acuerdo al número de propuestas hábiles elegibles en cada uno de ellos. El LOTE con menor número de propuestas habilitad</w:t>
      </w:r>
      <w:r>
        <w:rPr>
          <w:highlight w:val="yellow"/>
        </w:rPr>
        <w:t>as elegibles será el primero que se adjudique, para luego continuar con el que le siga y así sucesivamente, dejando para el final el LOTE con el mayor número de propuestas habilitadas elegibles.</w:t>
      </w:r>
    </w:p>
    <w:p w:rsidR="00522688" w:rsidRDefault="00522688">
      <w:pPr>
        <w:rPr>
          <w:highlight w:val="yellow"/>
        </w:rPr>
      </w:pPr>
    </w:p>
    <w:p w:rsidR="00522688" w:rsidRDefault="004E4FBB">
      <w:pPr>
        <w:rPr>
          <w:highlight w:val="yellow"/>
        </w:rPr>
      </w:pPr>
      <w:r>
        <w:rPr>
          <w:highlight w:val="yellow"/>
        </w:rPr>
        <w:t>En caso que dos o más LOTES tengan el mismo número de propue</w:t>
      </w:r>
      <w:r>
        <w:rPr>
          <w:highlight w:val="yellow"/>
        </w:rPr>
        <w:t xml:space="preserve">stas hábiles elegibles, es decir, que ocupen el mismo lugar en el orden de adjudicación, se procederá a determinar, entre ellos, el </w:t>
      </w:r>
      <w:r>
        <w:rPr>
          <w:highlight w:val="yellow"/>
        </w:rPr>
        <w:lastRenderedPageBreak/>
        <w:t>orden de adjudicación de acuerdo al valor del presupuesto oficial total de cada lote, adjudicando entre estos LOTES ubicados</w:t>
      </w:r>
      <w:r>
        <w:rPr>
          <w:highlight w:val="yellow"/>
        </w:rPr>
        <w:t xml:space="preserve"> en el mismo orden de adjudicación, primero el de mayor valor y así sucesivamente, dejando para el final el lote de menor valor.  </w:t>
      </w:r>
    </w:p>
    <w:p w:rsidR="00522688" w:rsidRDefault="00522688">
      <w:pPr>
        <w:rPr>
          <w:highlight w:val="yellow"/>
        </w:rPr>
      </w:pPr>
    </w:p>
    <w:p w:rsidR="00522688" w:rsidRDefault="004E4FBB">
      <w:pPr>
        <w:rPr>
          <w:highlight w:val="yellow"/>
        </w:rPr>
      </w:pPr>
      <w:r>
        <w:rPr>
          <w:highlight w:val="yellow"/>
        </w:rPr>
        <w:t>Si subsiste aún el empate, por tratarse de LOTES con el mismo valor de presupuesto oficial total, se procederán a adjudicar,</w:t>
      </w:r>
      <w:r>
        <w:rPr>
          <w:highlight w:val="yellow"/>
        </w:rPr>
        <w:t xml:space="preserve"> de acuerdo al siguiente orden, adjudicando primero siempre el LOTE que tenga el número menor, de acuerdo al número asignado para coda lote en este proceso de selección.</w:t>
      </w:r>
    </w:p>
    <w:p w:rsidR="00522688" w:rsidRDefault="00522688">
      <w:pPr>
        <w:rPr>
          <w:highlight w:val="yellow"/>
        </w:rPr>
      </w:pPr>
    </w:p>
    <w:p w:rsidR="00522688" w:rsidRDefault="004E4FBB">
      <w:pPr>
        <w:ind w:firstLine="708"/>
        <w:rPr>
          <w:highlight w:val="yellow"/>
        </w:rPr>
      </w:pPr>
      <w:r>
        <w:rPr>
          <w:highlight w:val="yellow"/>
        </w:rPr>
        <w:t>1. Lote 1.</w:t>
      </w:r>
    </w:p>
    <w:p w:rsidR="00522688" w:rsidRDefault="004E4FBB">
      <w:pPr>
        <w:ind w:firstLine="708"/>
        <w:rPr>
          <w:highlight w:val="yellow"/>
        </w:rPr>
      </w:pPr>
      <w:r>
        <w:rPr>
          <w:highlight w:val="yellow"/>
        </w:rPr>
        <w:t>2. Lote 2.</w:t>
      </w:r>
    </w:p>
    <w:p w:rsidR="00522688" w:rsidRDefault="004E4FBB">
      <w:pPr>
        <w:ind w:firstLine="708"/>
        <w:rPr>
          <w:highlight w:val="yellow"/>
        </w:rPr>
      </w:pPr>
      <w:r>
        <w:rPr>
          <w:highlight w:val="yellow"/>
        </w:rPr>
        <w:t>3. Lote 3.</w:t>
      </w:r>
    </w:p>
    <w:p w:rsidR="00522688" w:rsidRDefault="004E4FBB">
      <w:pPr>
        <w:ind w:firstLine="708"/>
        <w:rPr>
          <w:highlight w:val="yellow"/>
        </w:rPr>
      </w:pPr>
      <w:r>
        <w:rPr>
          <w:highlight w:val="yellow"/>
        </w:rPr>
        <w:t>4. Lote 4.</w:t>
      </w:r>
    </w:p>
    <w:p w:rsidR="00522688" w:rsidRDefault="004E4FBB">
      <w:pPr>
        <w:ind w:firstLine="708"/>
        <w:rPr>
          <w:highlight w:val="yellow"/>
        </w:rPr>
      </w:pPr>
      <w:r>
        <w:rPr>
          <w:highlight w:val="yellow"/>
        </w:rPr>
        <w:t>X. Lote X</w:t>
      </w:r>
    </w:p>
    <w:p w:rsidR="00522688" w:rsidRDefault="004E4FBB">
      <w:pPr>
        <w:ind w:firstLine="708"/>
        <w:rPr>
          <w:highlight w:val="yellow"/>
        </w:rPr>
      </w:pPr>
      <w:r>
        <w:rPr>
          <w:highlight w:val="yellow"/>
        </w:rPr>
        <w:t>X. Lote X</w:t>
      </w:r>
    </w:p>
    <w:p w:rsidR="00522688" w:rsidRDefault="00522688">
      <w:pPr>
        <w:rPr>
          <w:highlight w:val="yellow"/>
        </w:rPr>
      </w:pPr>
    </w:p>
    <w:p w:rsidR="00522688" w:rsidRDefault="004E4FBB">
      <w:pPr>
        <w:rPr>
          <w:highlight w:val="yellow"/>
        </w:rPr>
      </w:pPr>
      <w:r>
        <w:rPr>
          <w:highlight w:val="yellow"/>
        </w:rPr>
        <w:t>En todo caso el proponente que resultare adjudicatario de más de un LOTE deberá tener el Capital de Trabajo según lo requerido para cada uno de ellos.</w:t>
      </w:r>
    </w:p>
    <w:p w:rsidR="00522688" w:rsidRDefault="00522688">
      <w:pPr>
        <w:rPr>
          <w:highlight w:val="yellow"/>
        </w:rPr>
      </w:pPr>
    </w:p>
    <w:p w:rsidR="00522688" w:rsidRDefault="004E4FBB">
      <w:pPr>
        <w:rPr>
          <w:b/>
          <w:highlight w:val="yellow"/>
        </w:rPr>
      </w:pPr>
      <w:r>
        <w:rPr>
          <w:b/>
          <w:highlight w:val="yellow"/>
        </w:rPr>
        <w:t>Cálculo Capital de Trabajo.</w:t>
      </w:r>
    </w:p>
    <w:p w:rsidR="00522688" w:rsidRDefault="00522688">
      <w:pPr>
        <w:rPr>
          <w:highlight w:val="yellow"/>
        </w:rPr>
      </w:pPr>
    </w:p>
    <w:p w:rsidR="00522688" w:rsidRDefault="004E4FBB">
      <w:pPr>
        <w:rPr>
          <w:highlight w:val="yellow"/>
        </w:rPr>
      </w:pPr>
      <w:r>
        <w:rPr>
          <w:highlight w:val="yellow"/>
        </w:rPr>
        <w:t>El nuevo cálculo del Capital de Trabajo se realizará únicamente en la Audie</w:t>
      </w:r>
      <w:r>
        <w:rPr>
          <w:highlight w:val="yellow"/>
        </w:rPr>
        <w:t>ncia de Adjudicación cuando un proponente sea adjudicatario de un lote y pueda ser adjudicatario de otros.</w:t>
      </w:r>
    </w:p>
    <w:p w:rsidR="00522688" w:rsidRDefault="00522688">
      <w:pPr>
        <w:rPr>
          <w:highlight w:val="yellow"/>
        </w:rPr>
      </w:pPr>
    </w:p>
    <w:p w:rsidR="00522688" w:rsidRDefault="004E4FBB">
      <w:pPr>
        <w:rPr>
          <w:highlight w:val="yellow"/>
        </w:rPr>
      </w:pPr>
      <w:r>
        <w:rPr>
          <w:highlight w:val="yellow"/>
        </w:rPr>
        <w:t>Al Capital de Trabajo aportado por el proponente con la propuesta, se le restará el Capital de Trabajo requerido en el lote del cual fue adjudicatar</w:t>
      </w:r>
      <w:r>
        <w:rPr>
          <w:highlight w:val="yellow"/>
        </w:rPr>
        <w:t>io y se verificará que este valor cumpla con el Capital de Trabajo requerido para el nuevo lote y así sucesivamente para otros lotes, en caso de que se requiera.</w:t>
      </w:r>
    </w:p>
    <w:p w:rsidR="00522688" w:rsidRDefault="00522688">
      <w:pPr>
        <w:rPr>
          <w:highlight w:val="yellow"/>
        </w:rPr>
      </w:pPr>
    </w:p>
    <w:p w:rsidR="00522688" w:rsidRDefault="00522688">
      <w:pPr>
        <w:rPr>
          <w:highlight w:val="lightGray"/>
        </w:rPr>
      </w:pPr>
    </w:p>
    <w:p w:rsidR="00522688" w:rsidRDefault="004E4FBB">
      <w:r>
        <w:t>En caso de presentarse un empate, la Entidad dará aplicación al numeral 4.8 del presente documento</w:t>
      </w:r>
    </w:p>
    <w:p w:rsidR="00522688" w:rsidRDefault="00522688"/>
    <w:p w:rsidR="00522688" w:rsidRDefault="004E4FBB">
      <w:r>
        <w:t xml:space="preserve">Establecido el orden de elegibilidad, la Entidad, por medio de acto administrativo motivado, adjudicará el proceso al Proponente ubicado en el primer lugar </w:t>
      </w:r>
      <w:r>
        <w:t>del orden de elegibilidad y cuya oferta económica esté acorde con el Presupuesto Oficial del Proceso de Contratación.</w:t>
      </w:r>
    </w:p>
    <w:p w:rsidR="00522688" w:rsidRDefault="00522688"/>
    <w:p w:rsidR="00522688" w:rsidRDefault="004E4FBB">
      <w:pPr>
        <w:pStyle w:val="Ttulo2"/>
        <w:numPr>
          <w:ilvl w:val="1"/>
          <w:numId w:val="15"/>
        </w:numPr>
        <w:ind w:left="709" w:hanging="709"/>
      </w:pPr>
      <w:bookmarkStart w:id="30" w:name="_heading=h.49x2ik5" w:colFirst="0" w:colLast="0"/>
      <w:bookmarkEnd w:id="30"/>
      <w:r>
        <w:t>PROPUESTAS PARCIALES</w:t>
      </w:r>
    </w:p>
    <w:p w:rsidR="00522688" w:rsidRDefault="00522688"/>
    <w:p w:rsidR="00522688" w:rsidRDefault="004E4FBB">
      <w:r>
        <w:t>No se admitirá las propuestas parciales, esto es, las presentadas para una parte del objeto o del alcance del contr</w:t>
      </w:r>
      <w:r>
        <w:t>ato a menos que se establezca esta posibilidad en el Pliego de Condiciones.</w:t>
      </w:r>
    </w:p>
    <w:p w:rsidR="00522688" w:rsidRDefault="00522688"/>
    <w:p w:rsidR="00522688" w:rsidRDefault="004E4FBB">
      <w:pPr>
        <w:pStyle w:val="Ttulo2"/>
        <w:numPr>
          <w:ilvl w:val="1"/>
          <w:numId w:val="15"/>
        </w:numPr>
        <w:ind w:left="709" w:hanging="709"/>
      </w:pPr>
      <w:bookmarkStart w:id="31" w:name="_heading=h.2p2csry" w:colFirst="0" w:colLast="0"/>
      <w:bookmarkEnd w:id="31"/>
      <w:r>
        <w:t>PROPUESTAS ALTERNATIVAS</w:t>
      </w:r>
    </w:p>
    <w:p w:rsidR="00522688" w:rsidRDefault="00522688"/>
    <w:p w:rsidR="00522688" w:rsidRDefault="00522688"/>
    <w:p w:rsidR="00522688" w:rsidRDefault="004E4FBB">
      <w:r>
        <w:t>Los Proponentes pueden presentar alternativas técnicas y económicas siempre y cuando ellas no signifiquen condicionamientos para la adjudicación del cont</w:t>
      </w:r>
      <w:r>
        <w:t>rato y cumplan con los siguientes requisitos:</w:t>
      </w:r>
    </w:p>
    <w:p w:rsidR="00522688" w:rsidRDefault="00522688"/>
    <w:p w:rsidR="00522688" w:rsidRDefault="004E4FBB">
      <w:pPr>
        <w:numPr>
          <w:ilvl w:val="0"/>
          <w:numId w:val="37"/>
        </w:numPr>
        <w:pBdr>
          <w:top w:val="nil"/>
          <w:left w:val="nil"/>
          <w:bottom w:val="nil"/>
          <w:right w:val="nil"/>
          <w:between w:val="nil"/>
        </w:pBdr>
        <w:rPr>
          <w:color w:val="000000"/>
        </w:rPr>
      </w:pPr>
      <w:r>
        <w:rPr>
          <w:color w:val="000000"/>
        </w:rPr>
        <w:t>Que el Proponente presente una propuesta básica que se adecúe a las exigencias fijadas en el pliego de forma que pueda ser evaluada la oferta inicial con base en las reglas de Selección Objetiva allí contenidas.</w:t>
      </w:r>
    </w:p>
    <w:p w:rsidR="00522688" w:rsidRDefault="004E4FBB">
      <w:pPr>
        <w:numPr>
          <w:ilvl w:val="0"/>
          <w:numId w:val="37"/>
        </w:numPr>
        <w:pBdr>
          <w:top w:val="nil"/>
          <w:left w:val="nil"/>
          <w:bottom w:val="nil"/>
          <w:right w:val="nil"/>
          <w:between w:val="nil"/>
        </w:pBdr>
        <w:rPr>
          <w:color w:val="000000"/>
        </w:rPr>
      </w:pPr>
      <w:r>
        <w:rPr>
          <w:color w:val="000000"/>
        </w:rPr>
        <w:t>Que la oferta alternativa, o las excepciones</w:t>
      </w:r>
      <w:r>
        <w:rPr>
          <w:color w:val="000000"/>
        </w:rPr>
        <w:t xml:space="preserve"> técnicas y económicas, se enmarquen en el principio de Selección Objetiva, de tal manera que la alternativa a la propuesta básica pueda también evaluarse conforme a las reglas de selección establecidas en el Pliego de </w:t>
      </w:r>
      <w:r>
        <w:rPr>
          <w:color w:val="000000"/>
        </w:rPr>
        <w:lastRenderedPageBreak/>
        <w:t>Condiciones, sin que se afecten los p</w:t>
      </w:r>
      <w:r>
        <w:rPr>
          <w:color w:val="000000"/>
        </w:rPr>
        <w:t>arámetros neutrales de escogencia del contratista y no se desconozca el principio de igualdad.</w:t>
      </w:r>
    </w:p>
    <w:p w:rsidR="00522688" w:rsidRDefault="004E4FBB">
      <w:pPr>
        <w:numPr>
          <w:ilvl w:val="0"/>
          <w:numId w:val="37"/>
        </w:numPr>
        <w:pBdr>
          <w:top w:val="nil"/>
          <w:left w:val="nil"/>
          <w:bottom w:val="nil"/>
          <w:right w:val="nil"/>
          <w:between w:val="nil"/>
        </w:pBdr>
        <w:rPr>
          <w:color w:val="000000"/>
        </w:rPr>
      </w:pPr>
      <w:r>
        <w:rPr>
          <w:color w:val="000000"/>
        </w:rPr>
        <w:t xml:space="preserve">Cuando un Proponente presente una propuesta alternativa deberá adjuntar la información indispensable para su análisis y una descripción detallada del proceso de </w:t>
      </w:r>
      <w:r>
        <w:rPr>
          <w:color w:val="000000"/>
        </w:rPr>
        <w:t>consultoría de estudios de ingeniería de infraestructura de transporte. Todos los costos necesarios para desarrollar la propuesta alternativa, incluso los de transferencia tecnológica, deben incluirse en los respectivos ítems de la oferta. Solo serán consi</w:t>
      </w:r>
      <w:r>
        <w:rPr>
          <w:color w:val="000000"/>
        </w:rPr>
        <w:t>deradas las propuestas alternativas del Proponente favorecido con la adjudicación del Contrato y la selección de la alternativa será potestad de la Entidad.</w:t>
      </w:r>
    </w:p>
    <w:p w:rsidR="00522688" w:rsidRDefault="00522688"/>
    <w:p w:rsidR="00522688" w:rsidRDefault="004E4FBB">
      <w:r>
        <w:t>Las propuestas alternativas en SECOP II se deben allegar como “otros anexos” en su oferta, donde e</w:t>
      </w:r>
      <w:r>
        <w:t>l Proponente debe hacer la claridad de su intención de presentar una propuesta alternativa.</w:t>
      </w:r>
    </w:p>
    <w:p w:rsidR="00522688" w:rsidRDefault="00522688"/>
    <w:p w:rsidR="00522688" w:rsidRDefault="004E4FBB">
      <w:pPr>
        <w:pStyle w:val="Ttulo2"/>
        <w:numPr>
          <w:ilvl w:val="1"/>
          <w:numId w:val="15"/>
        </w:numPr>
        <w:ind w:left="709" w:hanging="709"/>
        <w:rPr>
          <w:highlight w:val="yellow"/>
        </w:rPr>
      </w:pPr>
      <w:bookmarkStart w:id="32" w:name="_heading=h.147n2zr" w:colFirst="0" w:colLast="0"/>
      <w:bookmarkEnd w:id="32"/>
      <w:r>
        <w:t xml:space="preserve">REGLAS PARA LOS PROCESOS ESTRUCTURADOS POR LOTES O GRUPOS </w:t>
      </w:r>
      <w:r>
        <w:rPr>
          <w:highlight w:val="yellow"/>
        </w:rPr>
        <w:t>(ELIMINAR EL NUMERAL SI EL PROCESO NO ES ESTRUCTURADO POR GRUPOS)</w:t>
      </w:r>
    </w:p>
    <w:p w:rsidR="00522688" w:rsidRDefault="00522688"/>
    <w:p w:rsidR="00522688" w:rsidRDefault="004E4FBB">
      <w:r>
        <w:rPr>
          <w:highlight w:val="lightGray"/>
        </w:rPr>
        <w:t>[La Entidad deberá incluir esta secció</w:t>
      </w:r>
      <w:r>
        <w:rPr>
          <w:highlight w:val="lightGray"/>
        </w:rPr>
        <w:t>n y aplicar las reglas aquí señaladas cuando estructure el Proceso de Contratación por lotes o grupos]</w:t>
      </w:r>
    </w:p>
    <w:p w:rsidR="00522688" w:rsidRDefault="00522688"/>
    <w:p w:rsidR="00522688" w:rsidRDefault="004E4FBB">
      <w:r>
        <w:t>Cuando el Proceso de Contratación se estructure por lotes o grupos, se aplicarán las siguientes reglas además de las previstas en otros numerales de est</w:t>
      </w:r>
      <w:r>
        <w:t>e pliego</w:t>
      </w:r>
    </w:p>
    <w:p w:rsidR="00522688" w:rsidRDefault="00522688"/>
    <w:p w:rsidR="00522688" w:rsidRDefault="004E4FBB">
      <w:pPr>
        <w:numPr>
          <w:ilvl w:val="0"/>
          <w:numId w:val="38"/>
        </w:numPr>
        <w:pBdr>
          <w:top w:val="nil"/>
          <w:left w:val="nil"/>
          <w:bottom w:val="nil"/>
          <w:right w:val="nil"/>
          <w:between w:val="nil"/>
        </w:pBdr>
        <w:rPr>
          <w:color w:val="000000"/>
        </w:rPr>
      </w:pPr>
      <w:r>
        <w:rPr>
          <w:color w:val="000000"/>
          <w:highlight w:val="yellow"/>
        </w:rPr>
        <w:t>(Incluir en caso de requerirse) El proponente (o integrante de un proponente plural) puede presentar oferta a uno o a varios LOTES, sin embargo, el proponente (o integrante de un proponente plural) que se presente a más de un LOTE, sólo podrá ser</w:t>
      </w:r>
      <w:r>
        <w:rPr>
          <w:color w:val="000000"/>
          <w:highlight w:val="yellow"/>
        </w:rPr>
        <w:t xml:space="preserve"> adjudicatario de uno de ellos (Esta regla tiene las excepciones que se indican en el literal E. de este mismo numeral).</w:t>
      </w:r>
    </w:p>
    <w:p w:rsidR="00522688" w:rsidRDefault="004E4FBB">
      <w:pPr>
        <w:numPr>
          <w:ilvl w:val="0"/>
          <w:numId w:val="38"/>
        </w:numPr>
        <w:pBdr>
          <w:top w:val="nil"/>
          <w:left w:val="nil"/>
          <w:bottom w:val="nil"/>
          <w:right w:val="nil"/>
          <w:between w:val="nil"/>
        </w:pBdr>
        <w:rPr>
          <w:color w:val="000000"/>
        </w:rPr>
      </w:pPr>
      <w:r>
        <w:rPr>
          <w:color w:val="000000"/>
        </w:rPr>
        <w:t>En los contratos aportados como experiencia se debe acreditar que el valor total de estos es mayor o igual al 100 % del valor total del</w:t>
      </w:r>
      <w:r>
        <w:rPr>
          <w:color w:val="000000"/>
        </w:rPr>
        <w:t xml:space="preserve"> presupuesto oficial establecido para cada lote. </w:t>
      </w:r>
    </w:p>
    <w:p w:rsidR="00522688" w:rsidRDefault="004E4FBB">
      <w:pPr>
        <w:numPr>
          <w:ilvl w:val="0"/>
          <w:numId w:val="38"/>
        </w:numPr>
        <w:pBdr>
          <w:top w:val="nil"/>
          <w:left w:val="nil"/>
          <w:bottom w:val="nil"/>
          <w:right w:val="nil"/>
          <w:between w:val="nil"/>
        </w:pBdr>
        <w:rPr>
          <w:color w:val="000000"/>
        </w:rPr>
      </w:pPr>
      <w:r>
        <w:rPr>
          <w:color w:val="000000"/>
        </w:rPr>
        <w:t>La experiencia que debe acreditar el Proponente será la establecida de forma independiente para cada lote o grupo de acuerdo con las actividades definidas en la “Matriz 1 – Experiencia” en el literal A de l</w:t>
      </w:r>
      <w:r>
        <w:rPr>
          <w:color w:val="000000"/>
        </w:rPr>
        <w:t>a sección 10.1.1.</w:t>
      </w:r>
    </w:p>
    <w:p w:rsidR="00522688" w:rsidRDefault="004E4FBB">
      <w:pPr>
        <w:numPr>
          <w:ilvl w:val="0"/>
          <w:numId w:val="38"/>
        </w:numPr>
        <w:pBdr>
          <w:top w:val="nil"/>
          <w:left w:val="nil"/>
          <w:bottom w:val="nil"/>
          <w:right w:val="nil"/>
          <w:between w:val="nil"/>
        </w:pBdr>
        <w:rPr>
          <w:color w:val="000000"/>
        </w:rPr>
      </w:pPr>
      <w:r>
        <w:rPr>
          <w:color w:val="000000"/>
        </w:rPr>
        <w:t>Los parámetros que se seguirán para establecer el orden de elegibilidad de los lotes o grupos que conforman el Proceso de Contratación será el señalado por la entidad en el numeral 2.7.</w:t>
      </w:r>
    </w:p>
    <w:p w:rsidR="00522688" w:rsidRDefault="004E4FBB">
      <w:pPr>
        <w:numPr>
          <w:ilvl w:val="0"/>
          <w:numId w:val="38"/>
        </w:numPr>
        <w:pBdr>
          <w:top w:val="nil"/>
          <w:left w:val="nil"/>
          <w:bottom w:val="nil"/>
          <w:right w:val="nil"/>
          <w:between w:val="nil"/>
        </w:pBdr>
        <w:rPr>
          <w:color w:val="000000"/>
        </w:rPr>
      </w:pPr>
      <w:r>
        <w:rPr>
          <w:color w:val="000000"/>
          <w:highlight w:val="lightGray"/>
        </w:rPr>
        <w:t>[Incluir cuando la Entidad no haya establecido la posibilidad de resultar adjudicatario de más de un lote o grupo]</w:t>
      </w:r>
      <w:r>
        <w:rPr>
          <w:color w:val="000000"/>
        </w:rPr>
        <w:t xml:space="preserve"> El Proponente seleccionado debe incluirse en los demás órdenes de elegibilidad en los cuales se encuentre habilitado y de resultar ubicado en</w:t>
      </w:r>
      <w:r>
        <w:rPr>
          <w:color w:val="000000"/>
        </w:rPr>
        <w:t xml:space="preserve"> el primer orden de elegibilidad de estos lotes, se adjudicará al Proponente que esté en el segundo orden de elegibilidad y así sucesivamente. En los eventos en los cuales no existan más proponentes a quienes adjudicar los lotes o grupos restantes del Proc</w:t>
      </w:r>
      <w:r>
        <w:rPr>
          <w:color w:val="000000"/>
        </w:rPr>
        <w:t xml:space="preserve">eso de Contratación, se podrá adjudicar a un mismo Proponente más de dos (2) lotes o grupos, siempre y cuando cumpla con los requisitos establecidos en el Pliego de Condiciones. </w:t>
      </w:r>
    </w:p>
    <w:p w:rsidR="00522688" w:rsidRDefault="004E4FBB">
      <w:pPr>
        <w:numPr>
          <w:ilvl w:val="0"/>
          <w:numId w:val="38"/>
        </w:numPr>
        <w:pBdr>
          <w:top w:val="nil"/>
          <w:left w:val="nil"/>
          <w:bottom w:val="nil"/>
          <w:right w:val="nil"/>
          <w:between w:val="nil"/>
        </w:pBdr>
        <w:rPr>
          <w:color w:val="000000"/>
        </w:rPr>
      </w:pPr>
      <w:r>
        <w:rPr>
          <w:color w:val="000000"/>
          <w:highlight w:val="lightGray"/>
        </w:rPr>
        <w:t>[Incluir cuando la Entidad establezca la posibilidad de resultar adjudicatari</w:t>
      </w:r>
      <w:r>
        <w:rPr>
          <w:color w:val="000000"/>
          <w:highlight w:val="lightGray"/>
        </w:rPr>
        <w:t>o de más de un lote o grupo]</w:t>
      </w:r>
      <w:r>
        <w:rPr>
          <w:color w:val="000000"/>
        </w:rPr>
        <w:t xml:space="preserve"> La Entidad verificará que el Proponente cumpla con el capital de trabajo para resultar adjudicatario de un lote o grupo adicional. </w:t>
      </w:r>
    </w:p>
    <w:p w:rsidR="00522688" w:rsidRDefault="004E4FBB">
      <w:pPr>
        <w:numPr>
          <w:ilvl w:val="0"/>
          <w:numId w:val="38"/>
        </w:numPr>
        <w:pBdr>
          <w:top w:val="nil"/>
          <w:left w:val="nil"/>
          <w:bottom w:val="nil"/>
          <w:right w:val="nil"/>
          <w:between w:val="nil"/>
        </w:pBdr>
        <w:rPr>
          <w:color w:val="000000"/>
        </w:rPr>
      </w:pPr>
      <w:r>
        <w:rPr>
          <w:color w:val="000000"/>
        </w:rPr>
        <w:t>El Proponente debe indicar en el “Formato 1 – Carta de presentación de la oferta” y en el “Form</w:t>
      </w:r>
      <w:r>
        <w:rPr>
          <w:color w:val="000000"/>
        </w:rPr>
        <w:t>ato 2 – Conformación de proponente plural” (Formato 2A- Consorcios) (Formato 2B- UT), el lote o lotes en los cuales presenta oferta.</w:t>
      </w:r>
    </w:p>
    <w:p w:rsidR="00522688" w:rsidRDefault="004E4FBB">
      <w:pPr>
        <w:numPr>
          <w:ilvl w:val="0"/>
          <w:numId w:val="38"/>
        </w:numPr>
        <w:pBdr>
          <w:top w:val="nil"/>
          <w:left w:val="nil"/>
          <w:bottom w:val="nil"/>
          <w:right w:val="nil"/>
          <w:between w:val="nil"/>
        </w:pBdr>
        <w:rPr>
          <w:color w:val="000000"/>
        </w:rPr>
      </w:pPr>
      <w:r>
        <w:rPr>
          <w:color w:val="000000"/>
        </w:rPr>
        <w:t>Para definir el método de ponderación de la oferta se aplicarán las reglas definidas en el numeral 4.1.</w:t>
      </w:r>
    </w:p>
    <w:p w:rsidR="00522688" w:rsidRDefault="00522688">
      <w:pPr>
        <w:pBdr>
          <w:top w:val="nil"/>
          <w:left w:val="nil"/>
          <w:bottom w:val="nil"/>
          <w:right w:val="nil"/>
          <w:between w:val="nil"/>
        </w:pBdr>
        <w:ind w:left="720"/>
        <w:rPr>
          <w:color w:val="000000"/>
        </w:rPr>
      </w:pPr>
    </w:p>
    <w:p w:rsidR="00522688" w:rsidRDefault="004E4FBB">
      <w:pPr>
        <w:spacing w:after="160" w:line="259" w:lineRule="auto"/>
        <w:jc w:val="left"/>
        <w:rPr>
          <w:b/>
          <w:sz w:val="22"/>
          <w:szCs w:val="22"/>
        </w:rPr>
      </w:pPr>
      <w:r>
        <w:lastRenderedPageBreak/>
        <w:br w:type="page"/>
      </w:r>
    </w:p>
    <w:p w:rsidR="00522688" w:rsidRDefault="004E4FBB">
      <w:pPr>
        <w:pStyle w:val="Ttulo1"/>
        <w:numPr>
          <w:ilvl w:val="0"/>
          <w:numId w:val="14"/>
        </w:numPr>
        <w:ind w:left="1531" w:firstLine="0"/>
      </w:pPr>
      <w:bookmarkStart w:id="33" w:name="_heading=h.3o7alnk" w:colFirst="0" w:colLast="0"/>
      <w:bookmarkEnd w:id="33"/>
      <w:r>
        <w:lastRenderedPageBreak/>
        <w:t>REQUISITOS HABILITANTES Y SU VERIFICACIÓN</w:t>
      </w:r>
    </w:p>
    <w:p w:rsidR="00522688" w:rsidRDefault="00522688">
      <w:pPr>
        <w:numPr>
          <w:ilvl w:val="0"/>
          <w:numId w:val="15"/>
        </w:numPr>
        <w:pBdr>
          <w:top w:val="nil"/>
          <w:left w:val="nil"/>
          <w:bottom w:val="nil"/>
          <w:right w:val="nil"/>
          <w:between w:val="nil"/>
        </w:pBdr>
      </w:pPr>
    </w:p>
    <w:p w:rsidR="00522688" w:rsidRDefault="004E4FBB">
      <w:r>
        <w:rPr>
          <w:highlight w:val="lightGray"/>
        </w:rPr>
        <w:t>[La Entidad debe adaptar este capítulo a la plataforma del SECOP II, en los términos definidos en las Guías de Colombia Compra Eficiente]</w:t>
      </w:r>
      <w:r>
        <w:t xml:space="preserve"> </w:t>
      </w:r>
    </w:p>
    <w:p w:rsidR="00522688" w:rsidRDefault="00522688"/>
    <w:p w:rsidR="00522688" w:rsidRDefault="004E4FBB">
      <w:r>
        <w:t xml:space="preserve">La Entidad verificará los requisitos habilitantes dentro del término señalado en el Cronograma del Pliego de Condiciones de acuerdo con los soportes documentales que acompañan la propuesta presentada. </w:t>
      </w:r>
    </w:p>
    <w:p w:rsidR="00522688" w:rsidRDefault="00522688"/>
    <w:p w:rsidR="00522688" w:rsidRDefault="004E4FBB">
      <w:r>
        <w:t>Los requisitos habilitantes serán objeto de verificac</w:t>
      </w:r>
      <w:r>
        <w:t xml:space="preserve">ión. Por lo tanto, si la propuesta cumple con todos los aspectos se evaluarán como </w:t>
      </w:r>
      <w:r>
        <w:rPr>
          <w:i/>
        </w:rPr>
        <w:t>“cumple”.</w:t>
      </w:r>
      <w:r>
        <w:t xml:space="preserve"> En caso contrario, se evaluará como </w:t>
      </w:r>
      <w:r>
        <w:rPr>
          <w:i/>
        </w:rPr>
        <w:t>“no cumple”.</w:t>
      </w:r>
      <w:r>
        <w:t xml:space="preserve"> </w:t>
      </w:r>
    </w:p>
    <w:p w:rsidR="00522688" w:rsidRDefault="00522688"/>
    <w:p w:rsidR="00522688" w:rsidRDefault="004E4FBB">
      <w:r>
        <w:t>De conformidad con la normativa aplicable, la Entidad realizará la verificación de requisitos habilitantes de lo</w:t>
      </w:r>
      <w:r>
        <w:t xml:space="preserve">s Proponentes (personas naturales o jurídicas nacionales o extranjeras domiciliadas o con sucursal en Colombia, Proponentes Plurales) con base en la información contenida en el RUP y los documentos señalados en el este Documento. </w:t>
      </w:r>
    </w:p>
    <w:p w:rsidR="00522688" w:rsidRDefault="00522688"/>
    <w:p w:rsidR="00522688" w:rsidRDefault="00522688"/>
    <w:p w:rsidR="00522688" w:rsidRDefault="004E4FBB">
      <w:pPr>
        <w:pStyle w:val="Ttulo2"/>
        <w:numPr>
          <w:ilvl w:val="1"/>
          <w:numId w:val="15"/>
        </w:numPr>
        <w:ind w:left="709" w:hanging="709"/>
      </w:pPr>
      <w:bookmarkStart w:id="34" w:name="_heading=h.23ckvvd" w:colFirst="0" w:colLast="0"/>
      <w:bookmarkEnd w:id="34"/>
      <w:r>
        <w:t>GENERALIDADES</w:t>
      </w:r>
    </w:p>
    <w:p w:rsidR="00522688" w:rsidRDefault="00522688"/>
    <w:p w:rsidR="00522688" w:rsidRDefault="004E4FBB">
      <w:pPr>
        <w:numPr>
          <w:ilvl w:val="0"/>
          <w:numId w:val="48"/>
        </w:numPr>
        <w:pBdr>
          <w:top w:val="nil"/>
          <w:left w:val="nil"/>
          <w:bottom w:val="nil"/>
          <w:right w:val="nil"/>
          <w:between w:val="nil"/>
        </w:pBdr>
        <w:rPr>
          <w:color w:val="000000"/>
        </w:rPr>
      </w:pPr>
      <w:r>
        <w:rPr>
          <w:color w:val="000000"/>
        </w:rPr>
        <w:t>Únicamen</w:t>
      </w:r>
      <w:r>
        <w:rPr>
          <w:color w:val="000000"/>
        </w:rPr>
        <w:t>te se considerarán habilitados aquellos Proponentes que cumplan con todos los requisitos habilitantes según lo señalado en el Pliego de Condiciones.</w:t>
      </w:r>
    </w:p>
    <w:p w:rsidR="00522688" w:rsidRDefault="004E4FBB">
      <w:pPr>
        <w:numPr>
          <w:ilvl w:val="0"/>
          <w:numId w:val="48"/>
        </w:numPr>
        <w:pBdr>
          <w:top w:val="nil"/>
          <w:left w:val="nil"/>
          <w:bottom w:val="nil"/>
          <w:right w:val="nil"/>
          <w:between w:val="nil"/>
        </w:pBdr>
        <w:rPr>
          <w:color w:val="000000"/>
        </w:rPr>
      </w:pPr>
      <w:r>
        <w:rPr>
          <w:color w:val="000000"/>
        </w:rPr>
        <w:t>En el caso de Proponentes Plurales, los requisitos habilitantes serán acreditados por cada uno de los integ</w:t>
      </w:r>
      <w:r>
        <w:rPr>
          <w:color w:val="000000"/>
        </w:rPr>
        <w:t>rantes de la figura asociativa, salvo que se entienda algo distinto y, en todo caso, de acuerdo con las reglas del Pliego de Condiciones.</w:t>
      </w:r>
    </w:p>
    <w:p w:rsidR="00522688" w:rsidRDefault="004E4FBB">
      <w:pPr>
        <w:numPr>
          <w:ilvl w:val="0"/>
          <w:numId w:val="48"/>
        </w:numPr>
        <w:pBdr>
          <w:top w:val="nil"/>
          <w:left w:val="nil"/>
          <w:bottom w:val="nil"/>
          <w:right w:val="nil"/>
          <w:between w:val="nil"/>
        </w:pBdr>
        <w:rPr>
          <w:color w:val="000000"/>
        </w:rPr>
      </w:pPr>
      <w:r>
        <w:rPr>
          <w:color w:val="000000"/>
        </w:rPr>
        <w:t>Todos los Proponentes deben diligenciar el “Formato 3 – Experiencia” y los Proponentes extranjeros sin domicilio o sin</w:t>
      </w:r>
      <w:r>
        <w:rPr>
          <w:color w:val="000000"/>
        </w:rPr>
        <w:t xml:space="preserve"> sucursal en Colombia deberán diligenciar el “Formato 4 – Capacidad financiera y organizacional para extranjeros” y adjuntar los soportes que ahí se definen. </w:t>
      </w:r>
    </w:p>
    <w:p w:rsidR="00522688" w:rsidRDefault="004E4FBB">
      <w:pPr>
        <w:numPr>
          <w:ilvl w:val="0"/>
          <w:numId w:val="48"/>
        </w:numPr>
        <w:pBdr>
          <w:top w:val="nil"/>
          <w:left w:val="nil"/>
          <w:bottom w:val="nil"/>
          <w:right w:val="nil"/>
          <w:between w:val="nil"/>
        </w:pBdr>
        <w:rPr>
          <w:color w:val="000000"/>
        </w:rPr>
      </w:pPr>
      <w:r>
        <w:rPr>
          <w:color w:val="000000"/>
        </w:rPr>
        <w:t>Los Proponentes obligados a estar inscritos en el Registro Único de Proponentes (RUP), deberán ap</w:t>
      </w:r>
      <w:r>
        <w:rPr>
          <w:color w:val="000000"/>
        </w:rPr>
        <w:t xml:space="preserve">ortar el certificado con fecha de expedición no mayor a treinta (30) días calendario anteriores contados desde la fecha de cierre del Proceso de Contratación. En caso de modificarse la fecha de cierre del Proceso de Contratación, se tendrá como referencia </w:t>
      </w:r>
      <w:r>
        <w:rPr>
          <w:color w:val="000000"/>
        </w:rPr>
        <w:t>para establecer el plazo de vigencia del certificado la originalmente fijada en el Pliego de Condiciones definitivo.</w:t>
      </w:r>
    </w:p>
    <w:p w:rsidR="00522688" w:rsidRDefault="00522688"/>
    <w:p w:rsidR="00522688" w:rsidRDefault="004E4FBB">
      <w:pPr>
        <w:pStyle w:val="Ttulo2"/>
        <w:numPr>
          <w:ilvl w:val="1"/>
          <w:numId w:val="15"/>
        </w:numPr>
        <w:ind w:left="709" w:hanging="709"/>
      </w:pPr>
      <w:bookmarkStart w:id="35" w:name="_heading=h.ihv636" w:colFirst="0" w:colLast="0"/>
      <w:bookmarkEnd w:id="35"/>
      <w:r>
        <w:t>CAPACIDAD JURÍDICA</w:t>
      </w:r>
    </w:p>
    <w:p w:rsidR="00522688" w:rsidRDefault="00522688"/>
    <w:p w:rsidR="00522688" w:rsidRDefault="004E4FBB">
      <w:r>
        <w:t xml:space="preserve">Los interesados podrán participar como Proponentes bajo alguna de las siguientes modalidades siempre y cuando cumplan </w:t>
      </w:r>
      <w:r>
        <w:t>los requisitos exigidos en el Pliego de Condiciones:</w:t>
      </w:r>
    </w:p>
    <w:p w:rsidR="00522688" w:rsidRDefault="00522688"/>
    <w:p w:rsidR="00522688" w:rsidRDefault="004E4FBB">
      <w:pPr>
        <w:numPr>
          <w:ilvl w:val="0"/>
          <w:numId w:val="49"/>
        </w:numPr>
        <w:pBdr>
          <w:top w:val="nil"/>
          <w:left w:val="nil"/>
          <w:bottom w:val="nil"/>
          <w:right w:val="nil"/>
          <w:between w:val="nil"/>
        </w:pBdr>
        <w:rPr>
          <w:color w:val="000000"/>
        </w:rPr>
      </w:pPr>
      <w:r>
        <w:rPr>
          <w:color w:val="000000"/>
        </w:rPr>
        <w:t>Individualmente, como: a) personas naturales nacionales o extranjeras, b) personas jurídicas nacionales o extranjeras.</w:t>
      </w:r>
    </w:p>
    <w:p w:rsidR="00522688" w:rsidRDefault="004E4FBB">
      <w:pPr>
        <w:numPr>
          <w:ilvl w:val="0"/>
          <w:numId w:val="49"/>
        </w:numPr>
        <w:pBdr>
          <w:top w:val="nil"/>
          <w:left w:val="nil"/>
          <w:bottom w:val="nil"/>
          <w:right w:val="nil"/>
          <w:between w:val="nil"/>
        </w:pBdr>
        <w:rPr>
          <w:color w:val="000000"/>
        </w:rPr>
      </w:pPr>
      <w:r>
        <w:rPr>
          <w:color w:val="000000"/>
        </w:rPr>
        <w:t>Conjuntamente, como Proponentes Plurales en cualquiera de las formas de asociación previstas en el artículo 7 de la Ley 80 de 1993.</w:t>
      </w:r>
    </w:p>
    <w:p w:rsidR="00522688" w:rsidRDefault="00522688"/>
    <w:p w:rsidR="00522688" w:rsidRDefault="004E4FBB">
      <w:r>
        <w:t>Los Proponentes deben:</w:t>
      </w:r>
    </w:p>
    <w:p w:rsidR="00522688" w:rsidRDefault="00522688"/>
    <w:p w:rsidR="00522688" w:rsidRDefault="004E4FBB">
      <w:pPr>
        <w:numPr>
          <w:ilvl w:val="0"/>
          <w:numId w:val="50"/>
        </w:numPr>
        <w:pBdr>
          <w:top w:val="nil"/>
          <w:left w:val="nil"/>
          <w:bottom w:val="nil"/>
          <w:right w:val="nil"/>
          <w:between w:val="nil"/>
        </w:pBdr>
        <w:rPr>
          <w:color w:val="000000"/>
        </w:rPr>
      </w:pPr>
      <w:r>
        <w:rPr>
          <w:color w:val="000000"/>
        </w:rPr>
        <w:t>Tener capacidad jurídica para la presentación de la oferta.</w:t>
      </w:r>
    </w:p>
    <w:p w:rsidR="00522688" w:rsidRDefault="004E4FBB">
      <w:pPr>
        <w:numPr>
          <w:ilvl w:val="0"/>
          <w:numId w:val="50"/>
        </w:numPr>
        <w:pBdr>
          <w:top w:val="nil"/>
          <w:left w:val="nil"/>
          <w:bottom w:val="nil"/>
          <w:right w:val="nil"/>
          <w:between w:val="nil"/>
        </w:pBdr>
        <w:rPr>
          <w:color w:val="000000"/>
        </w:rPr>
      </w:pPr>
      <w:r>
        <w:rPr>
          <w:color w:val="000000"/>
        </w:rPr>
        <w:t>Tener capacidad jurídica para la celebr</w:t>
      </w:r>
      <w:r>
        <w:rPr>
          <w:color w:val="000000"/>
        </w:rPr>
        <w:t>ación y ejecución del Contrato.</w:t>
      </w:r>
    </w:p>
    <w:p w:rsidR="00522688" w:rsidRDefault="004E4FBB">
      <w:pPr>
        <w:numPr>
          <w:ilvl w:val="0"/>
          <w:numId w:val="50"/>
        </w:numPr>
        <w:pBdr>
          <w:top w:val="nil"/>
          <w:left w:val="nil"/>
          <w:bottom w:val="nil"/>
          <w:right w:val="nil"/>
          <w:between w:val="nil"/>
        </w:pBdr>
        <w:rPr>
          <w:color w:val="000000"/>
        </w:rPr>
      </w:pPr>
      <w:r>
        <w:rPr>
          <w:color w:val="000000"/>
        </w:rPr>
        <w:lastRenderedPageBreak/>
        <w:t>No estar incursos en ninguna de las circunstancias de inhabilidad, incompatibilidad, conflicto de interés o prohibición previstas en la Constitución y en la ley para contratar con el Estado, o en la causal dispuesta en el nu</w:t>
      </w:r>
      <w:r>
        <w:rPr>
          <w:color w:val="000000"/>
        </w:rPr>
        <w:t xml:space="preserve">meral 1.14 del Pliego de Condiciones. </w:t>
      </w:r>
    </w:p>
    <w:p w:rsidR="00522688" w:rsidRDefault="004E4FBB">
      <w:pPr>
        <w:numPr>
          <w:ilvl w:val="0"/>
          <w:numId w:val="50"/>
        </w:numPr>
        <w:pBdr>
          <w:top w:val="nil"/>
          <w:left w:val="nil"/>
          <w:bottom w:val="nil"/>
          <w:right w:val="nil"/>
          <w:between w:val="nil"/>
        </w:pBdr>
        <w:rPr>
          <w:color w:val="000000"/>
        </w:rPr>
      </w:pPr>
      <w:r>
        <w:rPr>
          <w:color w:val="000000"/>
        </w:rPr>
        <w:t>No estar reportados en el último boletín de responsables fiscales vigente publicado por la Contraloría General de la República. Esta disposición aplica para el Proponente e integrantes de un Proponente Plural con domi</w:t>
      </w:r>
      <w:r>
        <w:rPr>
          <w:color w:val="000000"/>
        </w:rPr>
        <w:t>cilio en Colombia. Tratándose de Proponentes Extranjeros sin domicilio o sin sucursal en Colombia, deberán declarar que no son responsables fiscales por actividades ejercidas en Colombia en el pasado y que no tienen sanciones vigentes en Colombia que impli</w:t>
      </w:r>
      <w:r>
        <w:rPr>
          <w:color w:val="000000"/>
        </w:rPr>
        <w:t>que inhabilidad para contratar con el Estado.</w:t>
      </w:r>
    </w:p>
    <w:p w:rsidR="00522688" w:rsidRDefault="00522688"/>
    <w:p w:rsidR="00522688" w:rsidRDefault="004E4FBB">
      <w:r>
        <w:t>La Entidad debe consultar los Antecedentes Judiciales en línea en los registros de las bases de datos, al igual que los Antecedentes Fiscales acorde con el artículo 60 de la Ley 610 de 2000, los Antecedentes D</w:t>
      </w:r>
      <w:r>
        <w:t>isciplinarios conforme el artículo 1 de la Ley 1238 de 2008 y el Registro Nacional de Medidas Correctivas del Ministerio de Defensa Nacional – Policía Nacional, de acuerdo con lo dispuesto en el artículo 183 de la Ley 1801 de 2016 – Código Nacional de Segu</w:t>
      </w:r>
      <w:r>
        <w:t>ridad y Convivencia–</w:t>
      </w:r>
    </w:p>
    <w:p w:rsidR="00522688" w:rsidRDefault="00522688"/>
    <w:p w:rsidR="00522688" w:rsidRDefault="004E4FBB">
      <w:pPr>
        <w:pStyle w:val="Ttulo2"/>
        <w:numPr>
          <w:ilvl w:val="1"/>
          <w:numId w:val="15"/>
        </w:numPr>
        <w:ind w:left="709" w:hanging="709"/>
      </w:pPr>
      <w:bookmarkStart w:id="36" w:name="_heading=h.32hioqz" w:colFirst="0" w:colLast="0"/>
      <w:bookmarkEnd w:id="36"/>
      <w:r>
        <w:t>EXISTENCIA Y REPRESENTACIÓN LEGAL</w:t>
      </w:r>
    </w:p>
    <w:p w:rsidR="00522688" w:rsidRDefault="00522688"/>
    <w:p w:rsidR="00522688" w:rsidRDefault="004E4FBB">
      <w:r>
        <w:t>La existencia y representación legal de los Proponentes individuales o integrantes de los Proponentes Plurales se acreditará de acuerdo con las siguientes reglas:</w:t>
      </w:r>
    </w:p>
    <w:p w:rsidR="00522688" w:rsidRDefault="00522688"/>
    <w:p w:rsidR="00522688" w:rsidRDefault="004E4FBB">
      <w:pPr>
        <w:pStyle w:val="Ttulo3"/>
        <w:numPr>
          <w:ilvl w:val="2"/>
          <w:numId w:val="15"/>
        </w:numPr>
      </w:pPr>
      <w:bookmarkStart w:id="37" w:name="_heading=h.1hmsyys" w:colFirst="0" w:colLast="0"/>
      <w:bookmarkEnd w:id="37"/>
      <w:r>
        <w:t>PERSONAS NATURALES</w:t>
      </w:r>
    </w:p>
    <w:p w:rsidR="00522688" w:rsidRDefault="00522688"/>
    <w:p w:rsidR="00522688" w:rsidRDefault="004E4FBB">
      <w:r>
        <w:t xml:space="preserve">Deben presentar los siguientes documentos en copia simple: </w:t>
      </w:r>
    </w:p>
    <w:p w:rsidR="00522688" w:rsidRDefault="00522688"/>
    <w:p w:rsidR="00522688" w:rsidRDefault="004E4FBB">
      <w:pPr>
        <w:numPr>
          <w:ilvl w:val="0"/>
          <w:numId w:val="51"/>
        </w:numPr>
        <w:pBdr>
          <w:top w:val="nil"/>
          <w:left w:val="nil"/>
          <w:bottom w:val="nil"/>
          <w:right w:val="nil"/>
          <w:between w:val="nil"/>
        </w:pBdr>
        <w:rPr>
          <w:color w:val="000000"/>
        </w:rPr>
      </w:pPr>
      <w:r>
        <w:rPr>
          <w:color w:val="000000"/>
        </w:rPr>
        <w:t>Persona natural de nacionalidad colombiana: cédula de ciudadanía.</w:t>
      </w:r>
    </w:p>
    <w:p w:rsidR="00522688" w:rsidRDefault="004E4FBB">
      <w:pPr>
        <w:numPr>
          <w:ilvl w:val="0"/>
          <w:numId w:val="51"/>
        </w:numPr>
        <w:pBdr>
          <w:top w:val="nil"/>
          <w:left w:val="nil"/>
          <w:bottom w:val="nil"/>
          <w:right w:val="nil"/>
          <w:between w:val="nil"/>
        </w:pBdr>
        <w:rPr>
          <w:color w:val="000000"/>
        </w:rPr>
      </w:pPr>
      <w:r>
        <w:rPr>
          <w:color w:val="000000"/>
        </w:rPr>
        <w:t xml:space="preserve">Persona natural extranjera con residencia en Colombia: cédula de extranjería. </w:t>
      </w:r>
    </w:p>
    <w:p w:rsidR="00522688" w:rsidRDefault="004E4FBB">
      <w:pPr>
        <w:numPr>
          <w:ilvl w:val="0"/>
          <w:numId w:val="51"/>
        </w:numPr>
        <w:pBdr>
          <w:top w:val="nil"/>
          <w:left w:val="nil"/>
          <w:bottom w:val="nil"/>
          <w:right w:val="nil"/>
          <w:between w:val="nil"/>
        </w:pBdr>
        <w:rPr>
          <w:color w:val="000000"/>
        </w:rPr>
      </w:pPr>
      <w:r>
        <w:rPr>
          <w:color w:val="000000"/>
        </w:rPr>
        <w:t>Persona natural extranjera sin domicilio en Colomb</w:t>
      </w:r>
      <w:r>
        <w:rPr>
          <w:color w:val="000000"/>
        </w:rPr>
        <w:t>ia: pasaporte.</w:t>
      </w:r>
    </w:p>
    <w:p w:rsidR="00522688" w:rsidRDefault="00522688"/>
    <w:p w:rsidR="00522688" w:rsidRDefault="004E4FBB">
      <w:pPr>
        <w:pStyle w:val="Ttulo3"/>
        <w:numPr>
          <w:ilvl w:val="2"/>
          <w:numId w:val="15"/>
        </w:numPr>
      </w:pPr>
      <w:bookmarkStart w:id="38" w:name="_heading=h.41mghml" w:colFirst="0" w:colLast="0"/>
      <w:bookmarkEnd w:id="38"/>
      <w:r>
        <w:t>PERSONAS JURÍDICAS</w:t>
      </w:r>
    </w:p>
    <w:p w:rsidR="00522688" w:rsidRDefault="00522688"/>
    <w:p w:rsidR="00522688" w:rsidRDefault="004E4FBB">
      <w:r>
        <w:t xml:space="preserve">Deben presentar los siguientes documentos: </w:t>
      </w:r>
    </w:p>
    <w:p w:rsidR="00522688" w:rsidRDefault="00522688"/>
    <w:p w:rsidR="00522688" w:rsidRDefault="004E4FBB">
      <w:pPr>
        <w:numPr>
          <w:ilvl w:val="0"/>
          <w:numId w:val="52"/>
        </w:numPr>
        <w:pBdr>
          <w:top w:val="nil"/>
          <w:left w:val="nil"/>
          <w:bottom w:val="nil"/>
          <w:right w:val="nil"/>
          <w:between w:val="nil"/>
        </w:pBdr>
        <w:rPr>
          <w:color w:val="000000"/>
        </w:rPr>
      </w:pPr>
      <w:r>
        <w:rPr>
          <w:color w:val="000000"/>
        </w:rPr>
        <w:t xml:space="preserve">Persona jurídica nacional o extranjera con sucursal en Colombia: </w:t>
      </w:r>
    </w:p>
    <w:p w:rsidR="00522688" w:rsidRDefault="00522688"/>
    <w:p w:rsidR="00522688" w:rsidRDefault="004E4FBB">
      <w:pPr>
        <w:numPr>
          <w:ilvl w:val="0"/>
          <w:numId w:val="43"/>
        </w:numPr>
        <w:pBdr>
          <w:top w:val="nil"/>
          <w:left w:val="nil"/>
          <w:bottom w:val="nil"/>
          <w:right w:val="nil"/>
          <w:between w:val="nil"/>
        </w:pBdr>
        <w:ind w:left="1276" w:hanging="425"/>
        <w:rPr>
          <w:color w:val="000000"/>
        </w:rPr>
      </w:pPr>
      <w:r>
        <w:rPr>
          <w:color w:val="000000"/>
        </w:rPr>
        <w:t>Certificado de existencia y representación legal expedido por la Cámara de Comercio o autoridad competente en el que se verificará:</w:t>
      </w:r>
    </w:p>
    <w:p w:rsidR="00522688" w:rsidRDefault="00522688"/>
    <w:p w:rsidR="00522688" w:rsidRDefault="004E4FBB">
      <w:pPr>
        <w:numPr>
          <w:ilvl w:val="0"/>
          <w:numId w:val="42"/>
        </w:numPr>
        <w:pBdr>
          <w:top w:val="nil"/>
          <w:left w:val="nil"/>
          <w:bottom w:val="nil"/>
          <w:right w:val="nil"/>
          <w:between w:val="nil"/>
        </w:pBdr>
        <w:ind w:left="1560" w:hanging="284"/>
        <w:rPr>
          <w:color w:val="000000"/>
        </w:rPr>
      </w:pPr>
      <w:r>
        <w:rPr>
          <w:color w:val="000000"/>
        </w:rPr>
        <w:t>Fecha de expedición del certificado no mayor a treinta (30) días calendario anteriores contados desde la fecha de cierre del Proceso de Contratación. En caso de modificarse la fecha de cierre del Proceso de Contratación, se tendrá como referencia para esta</w:t>
      </w:r>
      <w:r>
        <w:rPr>
          <w:color w:val="000000"/>
        </w:rPr>
        <w:t>blecer el plazo de vigencia del certificado de existencia y representación legal la originalmente fijada en el Pliego de Condiciones definitivo.</w:t>
      </w:r>
    </w:p>
    <w:p w:rsidR="00522688" w:rsidRDefault="004E4FBB">
      <w:pPr>
        <w:numPr>
          <w:ilvl w:val="0"/>
          <w:numId w:val="42"/>
        </w:numPr>
        <w:pBdr>
          <w:top w:val="nil"/>
          <w:left w:val="nil"/>
          <w:bottom w:val="nil"/>
          <w:right w:val="nil"/>
          <w:between w:val="nil"/>
        </w:pBdr>
        <w:ind w:left="1560" w:hanging="284"/>
        <w:rPr>
          <w:color w:val="000000"/>
        </w:rPr>
      </w:pPr>
      <w:r>
        <w:rPr>
          <w:color w:val="000000"/>
        </w:rPr>
        <w:t>Que el objeto de la sociedad permita ejecutar las actividades descritas en el objeto del Proceso de Contratació</w:t>
      </w:r>
      <w:r>
        <w:rPr>
          <w:color w:val="000000"/>
        </w:rPr>
        <w:t xml:space="preserve">n. </w:t>
      </w:r>
    </w:p>
    <w:p w:rsidR="00522688" w:rsidRDefault="004E4FBB">
      <w:pPr>
        <w:numPr>
          <w:ilvl w:val="0"/>
          <w:numId w:val="42"/>
        </w:numPr>
        <w:pBdr>
          <w:top w:val="nil"/>
          <w:left w:val="nil"/>
          <w:bottom w:val="nil"/>
          <w:right w:val="nil"/>
          <w:between w:val="nil"/>
        </w:pBdr>
        <w:ind w:left="1560" w:hanging="284"/>
        <w:rPr>
          <w:color w:val="000000"/>
        </w:rPr>
      </w:pPr>
      <w:r>
        <w:rPr>
          <w:color w:val="000000"/>
        </w:rPr>
        <w:t xml:space="preserve">Las personas jurídicas nacionales y extranjeras deberán acreditar que su duración no será inferior a la del plazo del contrato y un año más. </w:t>
      </w:r>
    </w:p>
    <w:p w:rsidR="00522688" w:rsidRDefault="004E4FBB">
      <w:pPr>
        <w:numPr>
          <w:ilvl w:val="0"/>
          <w:numId w:val="42"/>
        </w:numPr>
        <w:pBdr>
          <w:top w:val="nil"/>
          <w:left w:val="nil"/>
          <w:bottom w:val="nil"/>
          <w:right w:val="nil"/>
          <w:between w:val="nil"/>
        </w:pBdr>
        <w:ind w:left="1560" w:hanging="284"/>
        <w:rPr>
          <w:color w:val="000000"/>
        </w:rPr>
      </w:pPr>
      <w:r>
        <w:rPr>
          <w:color w:val="000000"/>
        </w:rPr>
        <w:t>Si el representante legal tiene restricciones para contraer obligaciones en nombre de la sociedad, deberá acre</w:t>
      </w:r>
      <w:r>
        <w:rPr>
          <w:color w:val="000000"/>
        </w:rPr>
        <w:t xml:space="preserve">ditar su capacidad a través de una autorización suficiente otorgada por el órgano social competente respectivo. </w:t>
      </w:r>
    </w:p>
    <w:p w:rsidR="00522688" w:rsidRDefault="004E4FBB">
      <w:pPr>
        <w:numPr>
          <w:ilvl w:val="0"/>
          <w:numId w:val="42"/>
        </w:numPr>
        <w:pBdr>
          <w:top w:val="nil"/>
          <w:left w:val="nil"/>
          <w:bottom w:val="nil"/>
          <w:right w:val="nil"/>
          <w:between w:val="nil"/>
        </w:pBdr>
        <w:ind w:left="1560" w:hanging="284"/>
        <w:rPr>
          <w:color w:val="000000"/>
        </w:rPr>
      </w:pPr>
      <w:r>
        <w:rPr>
          <w:color w:val="000000"/>
        </w:rPr>
        <w:t xml:space="preserve">El nombramiento del revisor fiscal en caso de que deba contar con uno. </w:t>
      </w:r>
    </w:p>
    <w:p w:rsidR="00522688" w:rsidRDefault="004E4FBB">
      <w:pPr>
        <w:numPr>
          <w:ilvl w:val="0"/>
          <w:numId w:val="42"/>
        </w:numPr>
        <w:pBdr>
          <w:top w:val="nil"/>
          <w:left w:val="nil"/>
          <w:bottom w:val="nil"/>
          <w:right w:val="nil"/>
          <w:between w:val="nil"/>
        </w:pBdr>
        <w:ind w:left="1560" w:hanging="284"/>
        <w:rPr>
          <w:color w:val="000000"/>
        </w:rPr>
      </w:pPr>
      <w:r>
        <w:rPr>
          <w:color w:val="000000"/>
        </w:rPr>
        <w:lastRenderedPageBreak/>
        <w:t>Que las personas jurídicas extranjeras con actividades permanentes en l</w:t>
      </w:r>
      <w:r>
        <w:rPr>
          <w:color w:val="000000"/>
        </w:rPr>
        <w:t>a República de Colombia (contratos de obra o servicios) deberán estar legalmente establecidas en el territorio nacional de acuerdo con los artículos 471 y 474 del Código de Comercio.</w:t>
      </w:r>
    </w:p>
    <w:p w:rsidR="00522688" w:rsidRDefault="00522688"/>
    <w:p w:rsidR="00522688" w:rsidRDefault="004E4FBB">
      <w:pPr>
        <w:numPr>
          <w:ilvl w:val="0"/>
          <w:numId w:val="43"/>
        </w:numPr>
        <w:pBdr>
          <w:top w:val="nil"/>
          <w:left w:val="nil"/>
          <w:bottom w:val="nil"/>
          <w:right w:val="nil"/>
          <w:between w:val="nil"/>
        </w:pBdr>
        <w:ind w:left="1276" w:hanging="425"/>
        <w:rPr>
          <w:color w:val="000000"/>
        </w:rPr>
      </w:pPr>
      <w:r>
        <w:rPr>
          <w:color w:val="000000"/>
        </w:rPr>
        <w:t>Certificación del revisor fiscal en caso de ser sociedad anónima colombi</w:t>
      </w:r>
      <w:r>
        <w:rPr>
          <w:color w:val="000000"/>
        </w:rPr>
        <w:t>ana, en la que conste si es abierta o cerrada.</w:t>
      </w:r>
    </w:p>
    <w:p w:rsidR="00522688" w:rsidRDefault="004E4FBB">
      <w:pPr>
        <w:numPr>
          <w:ilvl w:val="0"/>
          <w:numId w:val="43"/>
        </w:numPr>
        <w:pBdr>
          <w:top w:val="nil"/>
          <w:left w:val="nil"/>
          <w:bottom w:val="nil"/>
          <w:right w:val="nil"/>
          <w:between w:val="nil"/>
        </w:pBdr>
        <w:ind w:left="1276" w:hanging="425"/>
        <w:rPr>
          <w:color w:val="000000"/>
        </w:rPr>
      </w:pPr>
      <w:r>
        <w:rPr>
          <w:color w:val="000000"/>
        </w:rPr>
        <w:t>Fotocopia del documento de identificación del representante legal.</w:t>
      </w:r>
    </w:p>
    <w:p w:rsidR="00522688" w:rsidRDefault="00522688"/>
    <w:p w:rsidR="00522688" w:rsidRDefault="004E4FBB">
      <w:pPr>
        <w:pBdr>
          <w:top w:val="nil"/>
          <w:left w:val="nil"/>
          <w:bottom w:val="nil"/>
          <w:right w:val="nil"/>
          <w:between w:val="nil"/>
        </w:pBdr>
        <w:ind w:left="720"/>
        <w:rPr>
          <w:color w:val="000000"/>
        </w:rPr>
      </w:pPr>
      <w:r>
        <w:rPr>
          <w:color w:val="000000"/>
        </w:rPr>
        <w:t xml:space="preserve">En el caso de las sucursales de las personas jurídicas extranjeras y como quiera que la sucursal en Colombia no es una persona jurídica diferente a la Matriz, se tendrá en cuenta la fecha de constitución de esta última. </w:t>
      </w:r>
    </w:p>
    <w:p w:rsidR="00522688" w:rsidRDefault="00522688"/>
    <w:p w:rsidR="00522688" w:rsidRDefault="004E4FBB">
      <w:pPr>
        <w:pBdr>
          <w:top w:val="nil"/>
          <w:left w:val="nil"/>
          <w:bottom w:val="nil"/>
          <w:right w:val="nil"/>
          <w:between w:val="nil"/>
        </w:pBdr>
        <w:ind w:left="720"/>
        <w:rPr>
          <w:color w:val="000000"/>
        </w:rPr>
      </w:pPr>
      <w:r>
        <w:rPr>
          <w:color w:val="000000"/>
        </w:rPr>
        <w:t>Si la oferta es suscrita por una p</w:t>
      </w:r>
      <w:r>
        <w:rPr>
          <w:color w:val="000000"/>
        </w:rPr>
        <w:t>ersona jurídica extranjera a través de la sucursal que esté debidamente constituida en Colombia, se deberá acreditar la capacidad legal de la sucursal y de su representante o mandatario mediante la presentación del certificado del Registro Único de Propone</w:t>
      </w:r>
      <w:r>
        <w:rPr>
          <w:color w:val="000000"/>
        </w:rPr>
        <w:t>ntes (RUP) de la sucursal y el certificado de existencia y representación legal con fecha de expedición máximo de 30 días calendario anteriores contados desde la fecha de cierre del Proceso de Contratación por la cámara de comercio. Cuando el representante</w:t>
      </w:r>
      <w:r>
        <w:rPr>
          <w:color w:val="000000"/>
        </w:rPr>
        <w:t xml:space="preserve"> legal de la sucursal tenga restricciones para contraer obligaciones, deberá acreditar autorización suficiente del órgano social respectivo para contraer obligaciones en nombre de la sociedad. La ausencia definitiva de autorización suficiente o no aportar </w:t>
      </w:r>
      <w:r>
        <w:rPr>
          <w:color w:val="000000"/>
        </w:rPr>
        <w:t>dicho documento, una vez solicitado por la Entidad, determinará la falta de capacidad jurídica para presentar la oferta.</w:t>
      </w:r>
    </w:p>
    <w:p w:rsidR="00522688" w:rsidRDefault="00522688"/>
    <w:p w:rsidR="00522688" w:rsidRDefault="004E4FBB">
      <w:pPr>
        <w:numPr>
          <w:ilvl w:val="0"/>
          <w:numId w:val="52"/>
        </w:numPr>
        <w:pBdr>
          <w:top w:val="nil"/>
          <w:left w:val="nil"/>
          <w:bottom w:val="nil"/>
          <w:right w:val="nil"/>
          <w:between w:val="nil"/>
        </w:pBdr>
        <w:rPr>
          <w:color w:val="000000"/>
        </w:rPr>
      </w:pPr>
      <w:r>
        <w:rPr>
          <w:color w:val="000000"/>
        </w:rPr>
        <w:t xml:space="preserve">Persona jurídica extranjera sin sucursal o domicilio en Colombia: Documentos que acrediten la existencia y representación legal de la </w:t>
      </w:r>
      <w:r>
        <w:rPr>
          <w:color w:val="000000"/>
        </w:rPr>
        <w:t>sociedad extranjera, legalizados o apostillados de conformidad con lo establecido en el Pliego de Condiciones, con una expedición de máximo seis (6) meses anteriores a la fecha de cierre del Proceso de Contratación, en el que debe constar como mínimo los s</w:t>
      </w:r>
      <w:r>
        <w:rPr>
          <w:color w:val="000000"/>
        </w:rPr>
        <w:t>iguientes aspectos:</w:t>
      </w:r>
    </w:p>
    <w:p w:rsidR="00522688" w:rsidRDefault="00522688"/>
    <w:p w:rsidR="00522688" w:rsidRDefault="004E4FBB">
      <w:pPr>
        <w:numPr>
          <w:ilvl w:val="0"/>
          <w:numId w:val="44"/>
        </w:numPr>
        <w:pBdr>
          <w:top w:val="nil"/>
          <w:left w:val="nil"/>
          <w:bottom w:val="nil"/>
          <w:right w:val="nil"/>
          <w:between w:val="nil"/>
        </w:pBdr>
        <w:ind w:left="1276" w:hanging="567"/>
        <w:rPr>
          <w:color w:val="000000"/>
        </w:rPr>
      </w:pPr>
      <w:r>
        <w:rPr>
          <w:color w:val="000000"/>
        </w:rPr>
        <w:t>Nombre o razón social completa.</w:t>
      </w:r>
    </w:p>
    <w:p w:rsidR="00522688" w:rsidRDefault="004E4FBB">
      <w:pPr>
        <w:numPr>
          <w:ilvl w:val="0"/>
          <w:numId w:val="44"/>
        </w:numPr>
        <w:pBdr>
          <w:top w:val="nil"/>
          <w:left w:val="nil"/>
          <w:bottom w:val="nil"/>
          <w:right w:val="nil"/>
          <w:between w:val="nil"/>
        </w:pBdr>
        <w:ind w:left="1276" w:hanging="567"/>
        <w:rPr>
          <w:color w:val="000000"/>
        </w:rPr>
      </w:pPr>
      <w:r>
        <w:rPr>
          <w:color w:val="000000"/>
        </w:rPr>
        <w:t>Nombre del representante legal o de la persona facultada para comprometer a la persona jurídica.</w:t>
      </w:r>
    </w:p>
    <w:p w:rsidR="00522688" w:rsidRDefault="004E4FBB">
      <w:pPr>
        <w:numPr>
          <w:ilvl w:val="0"/>
          <w:numId w:val="44"/>
        </w:numPr>
        <w:pBdr>
          <w:top w:val="nil"/>
          <w:left w:val="nil"/>
          <w:bottom w:val="nil"/>
          <w:right w:val="nil"/>
          <w:between w:val="nil"/>
        </w:pBdr>
        <w:ind w:left="1276" w:hanging="567"/>
        <w:rPr>
          <w:color w:val="000000"/>
        </w:rPr>
      </w:pPr>
      <w:r>
        <w:rPr>
          <w:color w:val="000000"/>
        </w:rPr>
        <w:t>Que el objeto de la sociedad permita ejecutar las actividades descritas en el objeto del Proceso de Contra</w:t>
      </w:r>
      <w:r>
        <w:rPr>
          <w:color w:val="000000"/>
        </w:rPr>
        <w:t>tación.</w:t>
      </w:r>
    </w:p>
    <w:p w:rsidR="00522688" w:rsidRDefault="004E4FBB">
      <w:pPr>
        <w:numPr>
          <w:ilvl w:val="0"/>
          <w:numId w:val="44"/>
        </w:numPr>
        <w:pBdr>
          <w:top w:val="nil"/>
          <w:left w:val="nil"/>
          <w:bottom w:val="nil"/>
          <w:right w:val="nil"/>
          <w:between w:val="nil"/>
        </w:pBdr>
        <w:ind w:left="1276" w:hanging="567"/>
        <w:rPr>
          <w:color w:val="000000"/>
        </w:rPr>
      </w:pPr>
      <w:r>
        <w:rPr>
          <w:color w:val="000000"/>
        </w:rPr>
        <w:t>Facultades del representante legal o de la persona designada para comprometer a la persona jurídica, en la que se señale expresamente que el representante no tiene limitaciones para contraer obligaciones en nombre de la misma o aportando la autoriz</w:t>
      </w:r>
      <w:r>
        <w:rPr>
          <w:color w:val="000000"/>
        </w:rPr>
        <w:t xml:space="preserve">ación o documento correspondiente del órgano social para cada caso. </w:t>
      </w:r>
    </w:p>
    <w:p w:rsidR="00522688" w:rsidRDefault="004E4FBB">
      <w:pPr>
        <w:numPr>
          <w:ilvl w:val="0"/>
          <w:numId w:val="44"/>
        </w:numPr>
        <w:pBdr>
          <w:top w:val="nil"/>
          <w:left w:val="nil"/>
          <w:bottom w:val="nil"/>
          <w:right w:val="nil"/>
          <w:between w:val="nil"/>
        </w:pBdr>
        <w:ind w:left="1276" w:hanging="567"/>
        <w:rPr>
          <w:color w:val="000000"/>
        </w:rPr>
      </w:pPr>
      <w:r>
        <w:rPr>
          <w:color w:val="000000"/>
        </w:rPr>
        <w:t xml:space="preserve">Tipo, número y fecha del documento de constitución o creación. </w:t>
      </w:r>
    </w:p>
    <w:p w:rsidR="00522688" w:rsidRDefault="004E4FBB">
      <w:pPr>
        <w:numPr>
          <w:ilvl w:val="0"/>
          <w:numId w:val="44"/>
        </w:numPr>
        <w:pBdr>
          <w:top w:val="nil"/>
          <w:left w:val="nil"/>
          <w:bottom w:val="nil"/>
          <w:right w:val="nil"/>
          <w:between w:val="nil"/>
        </w:pBdr>
        <w:ind w:left="1276" w:hanging="567"/>
        <w:rPr>
          <w:color w:val="000000"/>
        </w:rPr>
      </w:pPr>
      <w:r>
        <w:rPr>
          <w:color w:val="000000"/>
        </w:rPr>
        <w:t>Fecha y clase de documento por el cual se reconoce la personería jurídica.</w:t>
      </w:r>
    </w:p>
    <w:p w:rsidR="00522688" w:rsidRDefault="004E4FBB">
      <w:pPr>
        <w:numPr>
          <w:ilvl w:val="0"/>
          <w:numId w:val="44"/>
        </w:numPr>
        <w:pBdr>
          <w:top w:val="nil"/>
          <w:left w:val="nil"/>
          <w:bottom w:val="nil"/>
          <w:right w:val="nil"/>
          <w:between w:val="nil"/>
        </w:pBdr>
        <w:ind w:left="1276" w:hanging="567"/>
        <w:rPr>
          <w:color w:val="000000"/>
        </w:rPr>
      </w:pPr>
      <w:r>
        <w:rPr>
          <w:color w:val="000000"/>
        </w:rPr>
        <w:t xml:space="preserve">Acreditar que su duración no será inferior a la del plazo del contrato y un año más. </w:t>
      </w:r>
    </w:p>
    <w:p w:rsidR="00522688" w:rsidRDefault="004E4FBB">
      <w:pPr>
        <w:numPr>
          <w:ilvl w:val="0"/>
          <w:numId w:val="44"/>
        </w:numPr>
        <w:pBdr>
          <w:top w:val="nil"/>
          <w:left w:val="nil"/>
          <w:bottom w:val="nil"/>
          <w:right w:val="nil"/>
          <w:between w:val="nil"/>
        </w:pBdr>
        <w:ind w:left="1276" w:hanging="567"/>
        <w:rPr>
          <w:color w:val="000000"/>
        </w:rPr>
      </w:pPr>
      <w:r>
        <w:rPr>
          <w:color w:val="000000"/>
        </w:rPr>
        <w:t xml:space="preserve">Fotocopia del documento de identificación del representante legal. </w:t>
      </w:r>
    </w:p>
    <w:p w:rsidR="00522688" w:rsidRDefault="00522688"/>
    <w:p w:rsidR="00522688" w:rsidRDefault="004E4FBB">
      <w:pPr>
        <w:pBdr>
          <w:top w:val="nil"/>
          <w:left w:val="nil"/>
          <w:bottom w:val="nil"/>
          <w:right w:val="nil"/>
          <w:between w:val="nil"/>
        </w:pBdr>
        <w:ind w:left="720"/>
        <w:rPr>
          <w:color w:val="000000"/>
        </w:rPr>
      </w:pPr>
      <w:r>
        <w:rPr>
          <w:color w:val="000000"/>
        </w:rPr>
        <w:t>Si no existiera ninguna autoridad o entidad que certifique la totalidad de la información de existenc</w:t>
      </w:r>
      <w:r>
        <w:rPr>
          <w:color w:val="000000"/>
        </w:rPr>
        <w:t>ia y representación legal, el Proponente o integrante extranjero del Proponente Plural debe presentar una declaración juramentada de una persona con capacidad jurídica para vincular y representar a la sociedad en la que conste que: i) no existe autoridad u</w:t>
      </w:r>
      <w:r>
        <w:rPr>
          <w:color w:val="000000"/>
        </w:rPr>
        <w:t xml:space="preserve"> organismo que certifique lo solicitado en este literal; ii) la información requerida en el presente numeral, y iii) la capacidad jurídica para vincular y representar a la sociedad de la persona que efectúa </w:t>
      </w:r>
      <w:r>
        <w:rPr>
          <w:color w:val="000000"/>
        </w:rPr>
        <w:lastRenderedPageBreak/>
        <w:t>la declaración, así como de las demás personas qu</w:t>
      </w:r>
      <w:r>
        <w:rPr>
          <w:color w:val="000000"/>
        </w:rPr>
        <w:t>e puedan representar y vincular a la sociedad, si las hay.</w:t>
      </w:r>
    </w:p>
    <w:p w:rsidR="00522688" w:rsidRDefault="00522688"/>
    <w:p w:rsidR="00522688" w:rsidRDefault="004E4FBB">
      <w:pPr>
        <w:numPr>
          <w:ilvl w:val="0"/>
          <w:numId w:val="52"/>
        </w:numPr>
        <w:pBdr>
          <w:top w:val="nil"/>
          <w:left w:val="nil"/>
          <w:bottom w:val="nil"/>
          <w:right w:val="nil"/>
          <w:between w:val="nil"/>
        </w:pBdr>
        <w:rPr>
          <w:color w:val="000000"/>
        </w:rPr>
      </w:pPr>
      <w:r>
        <w:rPr>
          <w:color w:val="000000"/>
        </w:rPr>
        <w:t>Las Entidades Estatales deben presentar los siguientes documentos para acreditar su existencia:</w:t>
      </w:r>
    </w:p>
    <w:p w:rsidR="00522688" w:rsidRDefault="00522688"/>
    <w:p w:rsidR="00522688" w:rsidRDefault="004E4FBB">
      <w:pPr>
        <w:pBdr>
          <w:top w:val="nil"/>
          <w:left w:val="nil"/>
          <w:bottom w:val="nil"/>
          <w:right w:val="nil"/>
          <w:between w:val="nil"/>
        </w:pBdr>
        <w:ind w:left="720"/>
        <w:rPr>
          <w:color w:val="000000"/>
        </w:rPr>
      </w:pPr>
      <w:r>
        <w:rPr>
          <w:color w:val="000000"/>
        </w:rPr>
        <w:t>Acto de creación de la Entidad Estatal. Este puede ser ley, decreto, ordenanza, acuerdo o certifica</w:t>
      </w:r>
      <w:r>
        <w:rPr>
          <w:color w:val="000000"/>
        </w:rPr>
        <w:t xml:space="preserve">do de existencia y representación legal (este último no mayor a treinta (30) días calendario anteriores a la fecha de cierre del Proceso de Contratación) o documento equivalente que permita conocer la naturaleza jurídica, funciones, órganos de dirección o </w:t>
      </w:r>
      <w:r>
        <w:rPr>
          <w:color w:val="000000"/>
        </w:rPr>
        <w:t>régimen jurídico de contratación de la Entidad Estatal.</w:t>
      </w:r>
    </w:p>
    <w:p w:rsidR="00522688" w:rsidRDefault="00522688"/>
    <w:p w:rsidR="00522688" w:rsidRDefault="004E4FBB">
      <w:pPr>
        <w:pBdr>
          <w:top w:val="nil"/>
          <w:left w:val="nil"/>
          <w:bottom w:val="nil"/>
          <w:right w:val="nil"/>
          <w:between w:val="nil"/>
        </w:pBdr>
        <w:ind w:left="720"/>
        <w:rPr>
          <w:color w:val="000000"/>
        </w:rPr>
      </w:pPr>
      <w:r>
        <w:rPr>
          <w:b/>
          <w:color w:val="000000"/>
        </w:rPr>
        <w:t>NOTA:</w:t>
      </w:r>
      <w:r>
        <w:rPr>
          <w:color w:val="000000"/>
        </w:rPr>
        <w:t xml:space="preserve"> En el evento de personas jurídicas no obligadas a aportar el certificado de existencia y representación legal, deberán adjuntar un documento equivalente que acredite su existencia, junto con lo</w:t>
      </w:r>
      <w:r>
        <w:rPr>
          <w:color w:val="000000"/>
        </w:rPr>
        <w:t xml:space="preserve">s documentos que demuestren la capacidad del representante legal de la Entidad o sociedad a contratar, en el cual se verificará:  </w:t>
      </w:r>
    </w:p>
    <w:p w:rsidR="00522688" w:rsidRDefault="00522688"/>
    <w:p w:rsidR="00522688" w:rsidRDefault="004E4FBB">
      <w:pPr>
        <w:numPr>
          <w:ilvl w:val="1"/>
          <w:numId w:val="45"/>
        </w:numPr>
        <w:pBdr>
          <w:top w:val="nil"/>
          <w:left w:val="nil"/>
          <w:bottom w:val="nil"/>
          <w:right w:val="nil"/>
          <w:between w:val="nil"/>
        </w:pBdr>
        <w:rPr>
          <w:color w:val="000000"/>
        </w:rPr>
      </w:pPr>
      <w:r>
        <w:rPr>
          <w:color w:val="000000"/>
        </w:rPr>
        <w:t>Fecha de expedición del documento equivalente que acredite su existencia, con una expedición no mayor a treinta (30) días calendario anteriores a la fecha de cierre del Proceso de Contratación.</w:t>
      </w:r>
    </w:p>
    <w:p w:rsidR="00522688" w:rsidRDefault="004E4FBB">
      <w:pPr>
        <w:numPr>
          <w:ilvl w:val="1"/>
          <w:numId w:val="45"/>
        </w:numPr>
        <w:pBdr>
          <w:top w:val="nil"/>
          <w:left w:val="nil"/>
          <w:bottom w:val="nil"/>
          <w:right w:val="nil"/>
          <w:between w:val="nil"/>
        </w:pBdr>
        <w:rPr>
          <w:color w:val="000000"/>
        </w:rPr>
      </w:pPr>
      <w:r>
        <w:rPr>
          <w:color w:val="000000"/>
        </w:rPr>
        <w:t>Que el objeto incluya todas las actividades objeto del proceso</w:t>
      </w:r>
      <w:r>
        <w:rPr>
          <w:color w:val="000000"/>
        </w:rPr>
        <w:t xml:space="preserve">. </w:t>
      </w:r>
    </w:p>
    <w:p w:rsidR="00522688" w:rsidRDefault="004E4FBB">
      <w:pPr>
        <w:numPr>
          <w:ilvl w:val="1"/>
          <w:numId w:val="45"/>
        </w:numPr>
        <w:pBdr>
          <w:top w:val="nil"/>
          <w:left w:val="nil"/>
          <w:bottom w:val="nil"/>
          <w:right w:val="nil"/>
          <w:between w:val="nil"/>
        </w:pBdr>
        <w:rPr>
          <w:color w:val="000000"/>
        </w:rPr>
      </w:pPr>
      <w:r>
        <w:rPr>
          <w:color w:val="000000"/>
        </w:rPr>
        <w:t>La duración deberá ser por lo menos igual al plazo estimado del contrato y un (1) año más.</w:t>
      </w:r>
    </w:p>
    <w:p w:rsidR="00522688" w:rsidRDefault="004E4FBB">
      <w:pPr>
        <w:numPr>
          <w:ilvl w:val="1"/>
          <w:numId w:val="45"/>
        </w:numPr>
        <w:pBdr>
          <w:top w:val="nil"/>
          <w:left w:val="nil"/>
          <w:bottom w:val="nil"/>
          <w:right w:val="nil"/>
          <w:between w:val="nil"/>
        </w:pBdr>
        <w:rPr>
          <w:color w:val="000000"/>
        </w:rPr>
      </w:pPr>
      <w:r>
        <w:rPr>
          <w:color w:val="000000"/>
        </w:rPr>
        <w:t xml:space="preserve">Para efectos del Pliego de Condiciones, el plazo de ejecución del contrato será el indicado en el numeral “1.1 objeto, presupuesto oficial, plazo y ubicación”. </w:t>
      </w:r>
    </w:p>
    <w:p w:rsidR="00522688" w:rsidRDefault="004E4FBB">
      <w:pPr>
        <w:numPr>
          <w:ilvl w:val="1"/>
          <w:numId w:val="45"/>
        </w:numPr>
        <w:pBdr>
          <w:top w:val="nil"/>
          <w:left w:val="nil"/>
          <w:bottom w:val="nil"/>
          <w:right w:val="nil"/>
          <w:between w:val="nil"/>
        </w:pBdr>
        <w:rPr>
          <w:color w:val="000000"/>
        </w:rPr>
      </w:pPr>
      <w:r>
        <w:rPr>
          <w:color w:val="000000"/>
        </w:rPr>
        <w:t>S</w:t>
      </w:r>
      <w:r>
        <w:rPr>
          <w:color w:val="000000"/>
        </w:rPr>
        <w:t xml:space="preserve">i el representante legal tiene restricciones para contraer obligaciones en nombre de la misma, deberá acreditar autorización suficiente del órgano social  para contraer obligaciones en nombre de la sociedad o de la Entidad. </w:t>
      </w:r>
    </w:p>
    <w:p w:rsidR="00522688" w:rsidRDefault="004E4FBB">
      <w:pPr>
        <w:numPr>
          <w:ilvl w:val="1"/>
          <w:numId w:val="45"/>
        </w:numPr>
        <w:pBdr>
          <w:top w:val="nil"/>
          <w:left w:val="nil"/>
          <w:bottom w:val="nil"/>
          <w:right w:val="nil"/>
          <w:between w:val="nil"/>
        </w:pBdr>
        <w:rPr>
          <w:color w:val="000000"/>
        </w:rPr>
      </w:pPr>
      <w:r>
        <w:rPr>
          <w:color w:val="000000"/>
        </w:rPr>
        <w:t>La ausencia definitiva de autor</w:t>
      </w:r>
      <w:r>
        <w:rPr>
          <w:color w:val="000000"/>
        </w:rPr>
        <w:t xml:space="preserve">ización suficiente o el no aporte de dicho documento una vez solicitado por la Entidad, determinará la falta de capacidad jurídica para presentar la oferta, y por tanto su rechazo. </w:t>
      </w:r>
    </w:p>
    <w:p w:rsidR="00522688" w:rsidRDefault="004E4FBB">
      <w:pPr>
        <w:numPr>
          <w:ilvl w:val="1"/>
          <w:numId w:val="45"/>
        </w:numPr>
        <w:pBdr>
          <w:top w:val="nil"/>
          <w:left w:val="nil"/>
          <w:bottom w:val="nil"/>
          <w:right w:val="nil"/>
          <w:between w:val="nil"/>
        </w:pBdr>
        <w:rPr>
          <w:color w:val="000000"/>
        </w:rPr>
      </w:pPr>
      <w:r>
        <w:rPr>
          <w:color w:val="000000"/>
        </w:rPr>
        <w:t>El nombramiento del revisor fiscal en caso de que esté obligado a tenerlo.</w:t>
      </w:r>
    </w:p>
    <w:p w:rsidR="00522688" w:rsidRDefault="00522688"/>
    <w:p w:rsidR="00522688" w:rsidRDefault="004E4FBB">
      <w:pPr>
        <w:pStyle w:val="Ttulo3"/>
        <w:numPr>
          <w:ilvl w:val="2"/>
          <w:numId w:val="15"/>
        </w:numPr>
      </w:pPr>
      <w:bookmarkStart w:id="39" w:name="_heading=h.2grqrue" w:colFirst="0" w:colLast="0"/>
      <w:bookmarkEnd w:id="39"/>
      <w:r>
        <w:t>PROPONENTES PLURALES</w:t>
      </w:r>
    </w:p>
    <w:p w:rsidR="00522688" w:rsidRDefault="00522688"/>
    <w:p w:rsidR="00522688" w:rsidRDefault="004E4FBB">
      <w:r>
        <w:t xml:space="preserve">El documento de conformación de Proponentes Plurales debe: </w:t>
      </w:r>
    </w:p>
    <w:p w:rsidR="00522688" w:rsidRDefault="00522688"/>
    <w:p w:rsidR="00522688" w:rsidRDefault="004E4FBB">
      <w:pPr>
        <w:numPr>
          <w:ilvl w:val="0"/>
          <w:numId w:val="46"/>
        </w:numPr>
        <w:pBdr>
          <w:top w:val="nil"/>
          <w:left w:val="nil"/>
          <w:bottom w:val="nil"/>
          <w:right w:val="nil"/>
          <w:between w:val="nil"/>
        </w:pBdr>
        <w:ind w:left="709" w:hanging="425"/>
        <w:rPr>
          <w:color w:val="000000"/>
        </w:rPr>
      </w:pPr>
      <w:r>
        <w:rPr>
          <w:color w:val="000000"/>
        </w:rPr>
        <w:t>Acreditar la existencia del Proponente Plural y clasificarlo de forma clara en Unión Temporal o en Consorcio. En este documento los integrantes deben expresar su intención</w:t>
      </w:r>
      <w:r>
        <w:rPr>
          <w:color w:val="000000"/>
        </w:rPr>
        <w:t xml:space="preserve"> de conformar el Proponente Plural. En caso de que no exista precisión sobre el tipo de asociación se solicitará aclaración. Los Proponentes deben incluir como mínimo la información requerida en el “Formato 2 – Conformación de Proponente Plural” (Formato 2</w:t>
      </w:r>
      <w:r>
        <w:rPr>
          <w:color w:val="000000"/>
        </w:rPr>
        <w:t>A- Consorcios) (Formato 2B- UT). Los “Proponentes pueden introducir información adicional que no contradiga lo dispuesto en los documentos del Proceso de Contratación.</w:t>
      </w:r>
    </w:p>
    <w:p w:rsidR="00522688" w:rsidRDefault="004E4FBB">
      <w:pPr>
        <w:numPr>
          <w:ilvl w:val="0"/>
          <w:numId w:val="46"/>
        </w:numPr>
        <w:pBdr>
          <w:top w:val="nil"/>
          <w:left w:val="nil"/>
          <w:bottom w:val="nil"/>
          <w:right w:val="nil"/>
          <w:between w:val="nil"/>
        </w:pBdr>
        <w:ind w:left="709" w:hanging="425"/>
        <w:rPr>
          <w:color w:val="000000"/>
        </w:rPr>
      </w:pPr>
      <w:r>
        <w:rPr>
          <w:color w:val="000000"/>
        </w:rPr>
        <w:t>Acreditar el nombramiento de un representante y un suplente, este último en caso de cons</w:t>
      </w:r>
      <w:r>
        <w:rPr>
          <w:color w:val="000000"/>
        </w:rPr>
        <w:t>iderarlo conveniente, cuya designación quedará definida en el “Formato 2 – Conformación de proponente plural” (Formato 2A- Consorcios) (Formato 2B- Uniones Temporales), de todas las personas naturales y/o jurídicas asociadas. Estos tendrán facultades sufic</w:t>
      </w:r>
      <w:r>
        <w:rPr>
          <w:color w:val="000000"/>
        </w:rPr>
        <w:t>ientes para la representación sin limitaciones de todos los integrantes, en los diferentes aspectos que se requieran para presentar la oferta, suscribir y ejecutar el contrato, así como también para firmar el acta de terminación y liquidación.</w:t>
      </w:r>
    </w:p>
    <w:p w:rsidR="00522688" w:rsidRDefault="004E4FBB">
      <w:pPr>
        <w:numPr>
          <w:ilvl w:val="0"/>
          <w:numId w:val="46"/>
        </w:numPr>
        <w:pBdr>
          <w:top w:val="nil"/>
          <w:left w:val="nil"/>
          <w:bottom w:val="nil"/>
          <w:right w:val="nil"/>
          <w:between w:val="nil"/>
        </w:pBdr>
        <w:ind w:left="709" w:hanging="425"/>
        <w:rPr>
          <w:color w:val="000000"/>
        </w:rPr>
      </w:pPr>
      <w:r>
        <w:rPr>
          <w:color w:val="000000"/>
        </w:rPr>
        <w:lastRenderedPageBreak/>
        <w:t>Aportar copi</w:t>
      </w:r>
      <w:r>
        <w:rPr>
          <w:color w:val="000000"/>
        </w:rPr>
        <w:t xml:space="preserve">a del documento de identificación del representante principal y suplente del Proponente plural, en caso de que se haya nombrado este último. </w:t>
      </w:r>
    </w:p>
    <w:p w:rsidR="00522688" w:rsidRDefault="004E4FBB">
      <w:pPr>
        <w:numPr>
          <w:ilvl w:val="0"/>
          <w:numId w:val="46"/>
        </w:numPr>
        <w:pBdr>
          <w:top w:val="nil"/>
          <w:left w:val="nil"/>
          <w:bottom w:val="nil"/>
          <w:right w:val="nil"/>
          <w:between w:val="nil"/>
        </w:pBdr>
        <w:ind w:left="709" w:hanging="425"/>
        <w:rPr>
          <w:color w:val="000000"/>
        </w:rPr>
      </w:pPr>
      <w:r>
        <w:rPr>
          <w:color w:val="000000"/>
        </w:rPr>
        <w:t xml:space="preserve">Acreditar que la vigencia del Proponente Plural no sea inferior a la del plazo del contrato y un año adicional. Para efectos de la evaluación, este plazo será contado a partir de la fecha del cierre del Proceso de Contratación. </w:t>
      </w:r>
    </w:p>
    <w:p w:rsidR="00522688" w:rsidRDefault="004E4FBB">
      <w:pPr>
        <w:numPr>
          <w:ilvl w:val="0"/>
          <w:numId w:val="46"/>
        </w:numPr>
        <w:pBdr>
          <w:top w:val="nil"/>
          <w:left w:val="nil"/>
          <w:bottom w:val="nil"/>
          <w:right w:val="nil"/>
          <w:between w:val="nil"/>
        </w:pBdr>
        <w:ind w:left="709" w:hanging="425"/>
        <w:rPr>
          <w:color w:val="000000"/>
        </w:rPr>
      </w:pPr>
      <w:r>
        <w:rPr>
          <w:color w:val="000000"/>
        </w:rPr>
        <w:t>El Proponente Plural debe s</w:t>
      </w:r>
      <w:r>
        <w:rPr>
          <w:color w:val="000000"/>
        </w:rPr>
        <w:t>eñalar expresamente cuál es el porcentaje de participación de cada uno de sus integrantes. La sumatoria de este porcentaje no podrá ser diferente al 100%.</w:t>
      </w:r>
    </w:p>
    <w:p w:rsidR="00522688" w:rsidRDefault="004E4FBB">
      <w:pPr>
        <w:numPr>
          <w:ilvl w:val="0"/>
          <w:numId w:val="46"/>
        </w:numPr>
        <w:pBdr>
          <w:top w:val="nil"/>
          <w:left w:val="nil"/>
          <w:bottom w:val="nil"/>
          <w:right w:val="nil"/>
          <w:between w:val="nil"/>
        </w:pBdr>
        <w:ind w:left="709" w:hanging="425"/>
        <w:rPr>
          <w:color w:val="000000"/>
        </w:rPr>
      </w:pPr>
      <w:r>
        <w:rPr>
          <w:color w:val="000000"/>
        </w:rPr>
        <w:t xml:space="preserve">En la etapa contractual no podrán modificarse los porcentajes de participación sin el consentimiento </w:t>
      </w:r>
      <w:r>
        <w:rPr>
          <w:color w:val="000000"/>
        </w:rPr>
        <w:t>previo de la Entidad. En todo caso, en la etapa precontractual no será posible modificar los porcentajes de los integrantes del Proponente Plural después de la fecha del cierre del Proceso de Contratación. Cualquier modificación en los porcentajes de los i</w:t>
      </w:r>
      <w:r>
        <w:rPr>
          <w:color w:val="000000"/>
        </w:rPr>
        <w:t xml:space="preserve">ntegrantes será ineficaz y, por tanto, carecerá de efecto. </w:t>
      </w:r>
    </w:p>
    <w:p w:rsidR="00522688" w:rsidRDefault="004E4FBB">
      <w:pPr>
        <w:numPr>
          <w:ilvl w:val="0"/>
          <w:numId w:val="46"/>
        </w:numPr>
        <w:pBdr>
          <w:top w:val="nil"/>
          <w:left w:val="nil"/>
          <w:bottom w:val="nil"/>
          <w:right w:val="nil"/>
          <w:between w:val="nil"/>
        </w:pBdr>
        <w:ind w:left="709" w:hanging="425"/>
        <w:rPr>
          <w:color w:val="000000"/>
        </w:rPr>
      </w:pPr>
      <w:r>
        <w:rPr>
          <w:color w:val="000000"/>
          <w:highlight w:val="lightGray"/>
        </w:rPr>
        <w:t>[Incluir en Procesos de Contratación estructurados por lotes o grupos]</w:t>
      </w:r>
      <w:r>
        <w:rPr>
          <w:color w:val="000000"/>
        </w:rPr>
        <w:t xml:space="preserve"> Indicar el lote o lotes a los cuales presenta oferta. </w:t>
      </w:r>
    </w:p>
    <w:p w:rsidR="00522688" w:rsidRDefault="00522688"/>
    <w:p w:rsidR="00522688" w:rsidRDefault="004E4FBB">
      <w:r>
        <w:t>Dicho documento debe estar firmado por todos los integrantes del Prop</w:t>
      </w:r>
      <w:r>
        <w:t>onente Plural y en el caso de que un integrante sea una persona jurídica, por el representante legal de dicha persona, o por el apoderado de cualquiera de los anteriores.</w:t>
      </w:r>
    </w:p>
    <w:p w:rsidR="00522688" w:rsidRDefault="00522688"/>
    <w:p w:rsidR="00522688" w:rsidRDefault="004E4FBB">
      <w:pPr>
        <w:pStyle w:val="Ttulo2"/>
        <w:numPr>
          <w:ilvl w:val="1"/>
          <w:numId w:val="15"/>
        </w:numPr>
        <w:ind w:left="709" w:hanging="709"/>
      </w:pPr>
      <w:bookmarkStart w:id="40" w:name="_heading=h.vx1227" w:colFirst="0" w:colLast="0"/>
      <w:bookmarkEnd w:id="40"/>
      <w:r>
        <w:t>CERTIFICACIÓN DE PAGOS DE SEGURIDAD SOCIAL Y APORTES LEGALES</w:t>
      </w:r>
    </w:p>
    <w:p w:rsidR="00522688" w:rsidRDefault="00522688"/>
    <w:p w:rsidR="00522688" w:rsidRDefault="004E4FBB">
      <w:pPr>
        <w:pStyle w:val="Ttulo3"/>
        <w:numPr>
          <w:ilvl w:val="2"/>
          <w:numId w:val="15"/>
        </w:numPr>
      </w:pPr>
      <w:bookmarkStart w:id="41" w:name="_heading=h.3fwokq0" w:colFirst="0" w:colLast="0"/>
      <w:bookmarkEnd w:id="41"/>
      <w:r>
        <w:t>PERSONAS JURÍDICAS</w:t>
      </w:r>
    </w:p>
    <w:p w:rsidR="00522688" w:rsidRDefault="00522688"/>
    <w:p w:rsidR="00522688" w:rsidRDefault="004E4FBB">
      <w:r>
        <w:t>El</w:t>
      </w:r>
      <w:r>
        <w:t xml:space="preserve"> Proponente persona jurídica debe presentar el “Formato 5 – Pagos de seguridad social y aportes legales” suscrito por el revisor fiscal, de acuerdo con los requerimientos de ley, o por el representante legal, bajo la gravedad del juramento, cuando no se re</w:t>
      </w:r>
      <w:r>
        <w:t>quiera revisor fiscal, en el que conste el pago de los aportes de sus empleados a los sistemas de salud, riesgos laborales, pensiones y aportes a las cajas de compensación familiar, al Instituto Colombiano de Bienestar Familiar y al Servicio Nacional de Ap</w:t>
      </w:r>
      <w:r>
        <w:t>rendizaje, cuando a ello haya lugar.</w:t>
      </w:r>
    </w:p>
    <w:p w:rsidR="00522688" w:rsidRDefault="00522688"/>
    <w:p w:rsidR="00522688" w:rsidRDefault="004E4FBB">
      <w:r>
        <w:t>La Entidad no exigirá las planillas de pago. Bastará el certificado suscrito por el revisor fiscal, en los casos requeridos por la ley, o por el representante legal que así lo acredite.</w:t>
      </w:r>
    </w:p>
    <w:p w:rsidR="00522688" w:rsidRDefault="00522688"/>
    <w:p w:rsidR="00522688" w:rsidRDefault="004E4FBB">
      <w:r>
        <w:t>Cuando la persona jurídica esté</w:t>
      </w:r>
      <w:r>
        <w:t xml:space="preserve"> exonerada de estas obligaciones en los términos previstos en el artículo 65 de la Ley 1819 de 2016, debe indicarlo en el “Formato 5 – Pagos de seguridad social y aportes legales”. </w:t>
      </w:r>
    </w:p>
    <w:p w:rsidR="00522688" w:rsidRDefault="00522688"/>
    <w:p w:rsidR="00522688" w:rsidRDefault="004E4FBB">
      <w:r>
        <w:t>Esta misma previsión aplica para las personas jurídicas extranjeras con d</w:t>
      </w:r>
      <w:r>
        <w:t>omicilio o sucursal en Colombia las cuales deben acreditar este requisito respecto del personal vinculado en Colombia.</w:t>
      </w:r>
    </w:p>
    <w:p w:rsidR="00522688" w:rsidRDefault="00522688"/>
    <w:p w:rsidR="00522688" w:rsidRDefault="004E4FBB">
      <w:pPr>
        <w:pStyle w:val="Ttulo3"/>
        <w:numPr>
          <w:ilvl w:val="2"/>
          <w:numId w:val="15"/>
        </w:numPr>
      </w:pPr>
      <w:bookmarkStart w:id="42" w:name="_heading=h.1v1yuxt" w:colFirst="0" w:colLast="0"/>
      <w:bookmarkEnd w:id="42"/>
      <w:r>
        <w:t>PERSONAS NATURALES</w:t>
      </w:r>
    </w:p>
    <w:p w:rsidR="00522688" w:rsidRDefault="00522688"/>
    <w:p w:rsidR="00522688" w:rsidRDefault="004E4FBB">
      <w:r>
        <w:t>El Proponente persona natural debe acreditar la afiliación a los sistemas de seguridad social en salud y pensiones, aportando los certificados de afiliación respectivos o con el certificado de pago de la correspondiente planilla, pero no será obligatoria l</w:t>
      </w:r>
      <w:r>
        <w:t>a presentación de este último.</w:t>
      </w:r>
    </w:p>
    <w:p w:rsidR="00522688" w:rsidRDefault="00522688"/>
    <w:p w:rsidR="00522688" w:rsidRDefault="004E4FBB">
      <w:r>
        <w:t>Los certificados de afiliación deben presentarse con fecha de expedición no mayor a treinta (30) días calendario anteriores a la fecha de cierre del Proceso de Contratación. En caso de modificarse la fecha de cierre del Proc</w:t>
      </w:r>
      <w:r>
        <w:t>eso de Contratación, se tendrá como referencia para establecer el plazo de vigencia de los certificados de afiliación la originalmente fijada en el Pliego de Condiciones definitivo.</w:t>
      </w:r>
    </w:p>
    <w:p w:rsidR="00522688" w:rsidRDefault="00522688"/>
    <w:p w:rsidR="00522688" w:rsidRDefault="004E4FBB">
      <w:r>
        <w:lastRenderedPageBreak/>
        <w:t xml:space="preserve">La persona natural que reúna los requisitos para acceder a la pensión de </w:t>
      </w:r>
      <w:r>
        <w:t xml:space="preserve">vejez, o se pensione por invalidez o anticipadamente, presentará el certificado que lo acredite y además la afiliación al sistema de salud. </w:t>
      </w:r>
    </w:p>
    <w:p w:rsidR="00522688" w:rsidRDefault="00522688"/>
    <w:p w:rsidR="00522688" w:rsidRDefault="004E4FBB">
      <w:r>
        <w:t>Esta misma previsión aplica para las personas naturales extranjeras con domicilio en Colombia las cuales deberán a</w:t>
      </w:r>
      <w:r>
        <w:t>creditar este requisito respecto del personal vinculado en Colombia.</w:t>
      </w:r>
    </w:p>
    <w:p w:rsidR="00522688" w:rsidRDefault="00522688"/>
    <w:p w:rsidR="00522688" w:rsidRDefault="004E4FBB">
      <w:pPr>
        <w:pStyle w:val="Ttulo3"/>
        <w:numPr>
          <w:ilvl w:val="2"/>
          <w:numId w:val="15"/>
        </w:numPr>
      </w:pPr>
      <w:bookmarkStart w:id="43" w:name="_heading=h.4f1mdlm" w:colFirst="0" w:colLast="0"/>
      <w:bookmarkEnd w:id="43"/>
      <w:r>
        <w:t>PROPONENTES PLURALES</w:t>
      </w:r>
    </w:p>
    <w:p w:rsidR="00522688" w:rsidRDefault="00522688"/>
    <w:p w:rsidR="00522688" w:rsidRDefault="004E4FBB">
      <w:r>
        <w:t>Cada uno de los integrantes del Proponente Plural debe suscribir por separado la declaración de la que tratan los numerales anteriores.</w:t>
      </w:r>
    </w:p>
    <w:p w:rsidR="00522688" w:rsidRDefault="00522688"/>
    <w:p w:rsidR="00522688" w:rsidRDefault="004E4FBB">
      <w:pPr>
        <w:pStyle w:val="Ttulo3"/>
        <w:numPr>
          <w:ilvl w:val="2"/>
          <w:numId w:val="15"/>
        </w:numPr>
      </w:pPr>
      <w:bookmarkStart w:id="44" w:name="_heading=h.2u6wntf" w:colFirst="0" w:colLast="0"/>
      <w:bookmarkEnd w:id="44"/>
      <w:r>
        <w:t>SEGURIDAD SOCIAL PARA LA SU</w:t>
      </w:r>
      <w:r>
        <w:t>SCRIPCIÓN DEL CONTRATO</w:t>
      </w:r>
    </w:p>
    <w:p w:rsidR="00522688" w:rsidRDefault="00522688"/>
    <w:p w:rsidR="00522688" w:rsidRDefault="004E4FBB">
      <w:r>
        <w:t xml:space="preserve">El adjudicatario debe presentar, para la suscripción del respectivo contrato, ante la dependencia respectiva, la declaración donde acredite el pago correspondiente a seguridad social y aportes legales cuando a ello haya lugar. </w:t>
      </w:r>
    </w:p>
    <w:p w:rsidR="00522688" w:rsidRDefault="00522688"/>
    <w:p w:rsidR="00522688" w:rsidRDefault="004E4FBB">
      <w:r>
        <w:t xml:space="preserve">En </w:t>
      </w:r>
      <w:r>
        <w:t xml:space="preserve">caso de que el adjudicatario, persona natural o jurídica, no tenga o haya tenido dentro de los seis (6) meses anteriores a la fecha de firma del contrato personal a cargo y por ende no esté obligado a efectuar el pago de aportes legales y seguridad social </w:t>
      </w:r>
      <w:r>
        <w:t>debe indicar esta circunstancia en la mencionada certificación, bajo la gravedad de juramento.</w:t>
      </w:r>
    </w:p>
    <w:p w:rsidR="00522688" w:rsidRDefault="00522688"/>
    <w:p w:rsidR="00522688" w:rsidRDefault="004E4FBB">
      <w:pPr>
        <w:pStyle w:val="Ttulo2"/>
        <w:numPr>
          <w:ilvl w:val="1"/>
          <w:numId w:val="15"/>
        </w:numPr>
        <w:ind w:left="709" w:hanging="709"/>
      </w:pPr>
      <w:bookmarkStart w:id="45" w:name="_heading=h.19c6y18" w:colFirst="0" w:colLast="0"/>
      <w:bookmarkEnd w:id="45"/>
      <w:r>
        <w:t>CAPACIDAD FINANCIERA</w:t>
      </w:r>
    </w:p>
    <w:p w:rsidR="00522688" w:rsidRDefault="00522688"/>
    <w:p w:rsidR="00522688" w:rsidRDefault="004E4FBB">
      <w:r>
        <w:t>Los Proponentes deberán acreditar los siguientes indicadores en los términos señalados en la Matriz 2 – Indicadores financieros y organiza</w:t>
      </w:r>
      <w:r>
        <w:t>cionales y bajo las condiciones señaladas en el numeral 3.7:</w:t>
      </w:r>
    </w:p>
    <w:p w:rsidR="00522688" w:rsidRDefault="00522688"/>
    <w:tbl>
      <w:tblPr>
        <w:tblStyle w:val="a3"/>
        <w:tblW w:w="481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3"/>
        <w:gridCol w:w="2542"/>
      </w:tblGrid>
      <w:tr w:rsidR="00522688">
        <w:trPr>
          <w:trHeight w:val="283"/>
          <w:jc w:val="center"/>
        </w:trPr>
        <w:tc>
          <w:tcPr>
            <w:tcW w:w="2273" w:type="dxa"/>
            <w:shd w:val="clear" w:color="auto" w:fill="3B3838"/>
            <w:vAlign w:val="center"/>
          </w:tcPr>
          <w:p w:rsidR="00522688" w:rsidRDefault="004E4FBB">
            <w:pPr>
              <w:jc w:val="center"/>
              <w:rPr>
                <w:b/>
                <w:sz w:val="18"/>
                <w:szCs w:val="18"/>
              </w:rPr>
            </w:pPr>
            <w:r>
              <w:rPr>
                <w:b/>
                <w:sz w:val="18"/>
                <w:szCs w:val="18"/>
              </w:rPr>
              <w:t>Indicador</w:t>
            </w:r>
          </w:p>
        </w:tc>
        <w:tc>
          <w:tcPr>
            <w:tcW w:w="2542" w:type="dxa"/>
            <w:shd w:val="clear" w:color="auto" w:fill="3B3838"/>
            <w:vAlign w:val="center"/>
          </w:tcPr>
          <w:p w:rsidR="00522688" w:rsidRDefault="004E4FBB">
            <w:pPr>
              <w:jc w:val="center"/>
              <w:rPr>
                <w:b/>
                <w:sz w:val="18"/>
                <w:szCs w:val="18"/>
              </w:rPr>
            </w:pPr>
            <w:r>
              <w:rPr>
                <w:b/>
                <w:sz w:val="18"/>
                <w:szCs w:val="18"/>
              </w:rPr>
              <w:t>Fórmula</w:t>
            </w:r>
          </w:p>
        </w:tc>
      </w:tr>
      <w:tr w:rsidR="00522688">
        <w:trPr>
          <w:trHeight w:val="567"/>
          <w:jc w:val="center"/>
        </w:trPr>
        <w:tc>
          <w:tcPr>
            <w:tcW w:w="2273" w:type="dxa"/>
            <w:vAlign w:val="center"/>
          </w:tcPr>
          <w:p w:rsidR="00522688" w:rsidRDefault="004E4FBB">
            <w:pPr>
              <w:jc w:val="center"/>
              <w:rPr>
                <w:sz w:val="18"/>
                <w:szCs w:val="18"/>
              </w:rPr>
            </w:pPr>
            <w:r>
              <w:rPr>
                <w:sz w:val="18"/>
                <w:szCs w:val="18"/>
              </w:rPr>
              <w:t>Liquidez</w:t>
            </w:r>
          </w:p>
        </w:tc>
        <w:tc>
          <w:tcPr>
            <w:tcW w:w="2542" w:type="dxa"/>
            <w:vAlign w:val="center"/>
          </w:tcPr>
          <w:p w:rsidR="00522688" w:rsidRDefault="004E4FBB">
            <w:pPr>
              <w:jc w:val="center"/>
              <w:rPr>
                <w:rFonts w:ascii="Cambria Math" w:eastAsia="Cambria Math" w:hAnsi="Cambria Math" w:cs="Cambria Math"/>
                <w:sz w:val="18"/>
                <w:szCs w:val="18"/>
              </w:rPr>
            </w:pPr>
            <m:oMathPara>
              <m:oMath>
                <m:f>
                  <m:fPr>
                    <m:ctrlPr>
                      <w:rPr>
                        <w:rFonts w:ascii="Cambria Math" w:eastAsia="Cambria Math" w:hAnsi="Cambria Math" w:cs="Cambria Math"/>
                        <w:sz w:val="18"/>
                        <w:szCs w:val="18"/>
                      </w:rPr>
                    </m:ctrlPr>
                  </m:fPr>
                  <m:num>
                    <m:r>
                      <w:rPr>
                        <w:rFonts w:ascii="Cambria Math" w:eastAsia="Cambria Math" w:hAnsi="Cambria Math" w:cs="Cambria Math"/>
                        <w:sz w:val="18"/>
                        <w:szCs w:val="18"/>
                      </w:rPr>
                      <m:t>Activo</m:t>
                    </m:r>
                    <m:r>
                      <w:rPr>
                        <w:rFonts w:ascii="Cambria Math" w:eastAsia="Cambria Math" w:hAnsi="Cambria Math" w:cs="Cambria Math"/>
                        <w:sz w:val="18"/>
                        <w:szCs w:val="18"/>
                      </w:rPr>
                      <m:t xml:space="preserve"> </m:t>
                    </m:r>
                    <m:r>
                      <w:rPr>
                        <w:rFonts w:ascii="Cambria Math" w:eastAsia="Cambria Math" w:hAnsi="Cambria Math" w:cs="Cambria Math"/>
                        <w:sz w:val="18"/>
                        <w:szCs w:val="18"/>
                      </w:rPr>
                      <m:t>Corriente</m:t>
                    </m:r>
                  </m:num>
                  <m:den>
                    <m:r>
                      <w:rPr>
                        <w:rFonts w:ascii="Cambria Math" w:eastAsia="Cambria Math" w:hAnsi="Cambria Math" w:cs="Cambria Math"/>
                        <w:sz w:val="18"/>
                        <w:szCs w:val="18"/>
                      </w:rPr>
                      <m:t>Pasivo</m:t>
                    </m:r>
                    <m:r>
                      <w:rPr>
                        <w:rFonts w:ascii="Cambria Math" w:eastAsia="Cambria Math" w:hAnsi="Cambria Math" w:cs="Cambria Math"/>
                        <w:sz w:val="18"/>
                        <w:szCs w:val="18"/>
                      </w:rPr>
                      <m:t xml:space="preserve"> </m:t>
                    </m:r>
                    <m:r>
                      <w:rPr>
                        <w:rFonts w:ascii="Cambria Math" w:eastAsia="Cambria Math" w:hAnsi="Cambria Math" w:cs="Cambria Math"/>
                        <w:sz w:val="18"/>
                        <w:szCs w:val="18"/>
                      </w:rPr>
                      <m:t>Corriente</m:t>
                    </m:r>
                  </m:den>
                </m:f>
              </m:oMath>
            </m:oMathPara>
          </w:p>
        </w:tc>
      </w:tr>
      <w:tr w:rsidR="00522688">
        <w:trPr>
          <w:trHeight w:val="567"/>
          <w:jc w:val="center"/>
        </w:trPr>
        <w:tc>
          <w:tcPr>
            <w:tcW w:w="2273" w:type="dxa"/>
            <w:vAlign w:val="center"/>
          </w:tcPr>
          <w:p w:rsidR="00522688" w:rsidRDefault="004E4FBB">
            <w:pPr>
              <w:jc w:val="center"/>
              <w:rPr>
                <w:sz w:val="18"/>
                <w:szCs w:val="18"/>
              </w:rPr>
            </w:pPr>
            <w:r>
              <w:rPr>
                <w:sz w:val="18"/>
                <w:szCs w:val="18"/>
              </w:rPr>
              <w:t>Nivel de Endeudamiento</w:t>
            </w:r>
          </w:p>
        </w:tc>
        <w:tc>
          <w:tcPr>
            <w:tcW w:w="2542" w:type="dxa"/>
            <w:vAlign w:val="center"/>
          </w:tcPr>
          <w:p w:rsidR="00522688" w:rsidRDefault="004E4FBB">
            <w:pPr>
              <w:jc w:val="center"/>
              <w:rPr>
                <w:rFonts w:ascii="Cambria Math" w:eastAsia="Cambria Math" w:hAnsi="Cambria Math" w:cs="Cambria Math"/>
                <w:sz w:val="18"/>
                <w:szCs w:val="18"/>
              </w:rPr>
            </w:pPr>
            <m:oMathPara>
              <m:oMath>
                <m:f>
                  <m:fPr>
                    <m:ctrlPr>
                      <w:rPr>
                        <w:rFonts w:ascii="Cambria Math" w:eastAsia="Cambria Math" w:hAnsi="Cambria Math" w:cs="Cambria Math"/>
                        <w:sz w:val="18"/>
                        <w:szCs w:val="18"/>
                      </w:rPr>
                    </m:ctrlPr>
                  </m:fPr>
                  <m:num>
                    <m:r>
                      <w:rPr>
                        <w:rFonts w:ascii="Cambria Math" w:eastAsia="Cambria Math" w:hAnsi="Cambria Math" w:cs="Cambria Math"/>
                        <w:sz w:val="18"/>
                        <w:szCs w:val="18"/>
                      </w:rPr>
                      <m:t>Pasivo</m:t>
                    </m:r>
                    <m:r>
                      <w:rPr>
                        <w:rFonts w:ascii="Cambria Math" w:eastAsia="Cambria Math" w:hAnsi="Cambria Math" w:cs="Cambria Math"/>
                        <w:sz w:val="18"/>
                        <w:szCs w:val="18"/>
                      </w:rPr>
                      <m:t xml:space="preserve"> </m:t>
                    </m:r>
                    <m:r>
                      <w:rPr>
                        <w:rFonts w:ascii="Cambria Math" w:eastAsia="Cambria Math" w:hAnsi="Cambria Math" w:cs="Cambria Math"/>
                        <w:sz w:val="18"/>
                        <w:szCs w:val="18"/>
                      </w:rPr>
                      <m:t>Total</m:t>
                    </m:r>
                  </m:num>
                  <m:den>
                    <m:r>
                      <w:rPr>
                        <w:rFonts w:ascii="Cambria Math" w:eastAsia="Cambria Math" w:hAnsi="Cambria Math" w:cs="Cambria Math"/>
                        <w:sz w:val="18"/>
                        <w:szCs w:val="18"/>
                      </w:rPr>
                      <m:t>Activo</m:t>
                    </m:r>
                    <m:r>
                      <w:rPr>
                        <w:rFonts w:ascii="Cambria Math" w:eastAsia="Cambria Math" w:hAnsi="Cambria Math" w:cs="Cambria Math"/>
                        <w:sz w:val="18"/>
                        <w:szCs w:val="18"/>
                      </w:rPr>
                      <m:t xml:space="preserve"> </m:t>
                    </m:r>
                    <m:r>
                      <w:rPr>
                        <w:rFonts w:ascii="Cambria Math" w:eastAsia="Cambria Math" w:hAnsi="Cambria Math" w:cs="Cambria Math"/>
                        <w:sz w:val="18"/>
                        <w:szCs w:val="18"/>
                      </w:rPr>
                      <m:t>Total</m:t>
                    </m:r>
                  </m:den>
                </m:f>
              </m:oMath>
            </m:oMathPara>
          </w:p>
        </w:tc>
      </w:tr>
      <w:tr w:rsidR="00522688">
        <w:trPr>
          <w:trHeight w:val="567"/>
          <w:jc w:val="center"/>
        </w:trPr>
        <w:tc>
          <w:tcPr>
            <w:tcW w:w="2273" w:type="dxa"/>
            <w:vAlign w:val="center"/>
          </w:tcPr>
          <w:p w:rsidR="00522688" w:rsidRDefault="004E4FBB">
            <w:pPr>
              <w:jc w:val="center"/>
              <w:rPr>
                <w:sz w:val="18"/>
                <w:szCs w:val="18"/>
              </w:rPr>
            </w:pPr>
            <w:r>
              <w:rPr>
                <w:sz w:val="18"/>
                <w:szCs w:val="18"/>
              </w:rPr>
              <w:t>Razón de Cobertura de Intereses</w:t>
            </w:r>
          </w:p>
        </w:tc>
        <w:tc>
          <w:tcPr>
            <w:tcW w:w="2542" w:type="dxa"/>
            <w:vAlign w:val="center"/>
          </w:tcPr>
          <w:p w:rsidR="00522688" w:rsidRDefault="004E4FBB">
            <w:pPr>
              <w:jc w:val="center"/>
              <w:rPr>
                <w:rFonts w:ascii="Cambria Math" w:eastAsia="Cambria Math" w:hAnsi="Cambria Math" w:cs="Cambria Math"/>
                <w:sz w:val="18"/>
                <w:szCs w:val="18"/>
              </w:rPr>
            </w:pPr>
            <m:oMathPara>
              <m:oMath>
                <m:f>
                  <m:fPr>
                    <m:ctrlPr>
                      <w:rPr>
                        <w:rFonts w:ascii="Cambria Math" w:eastAsia="Cambria Math" w:hAnsi="Cambria Math" w:cs="Cambria Math"/>
                        <w:sz w:val="18"/>
                        <w:szCs w:val="18"/>
                      </w:rPr>
                    </m:ctrlPr>
                  </m:fPr>
                  <m:num>
                    <m:r>
                      <w:rPr>
                        <w:rFonts w:ascii="Cambria Math" w:eastAsia="Cambria Math" w:hAnsi="Cambria Math" w:cs="Cambria Math"/>
                        <w:sz w:val="18"/>
                        <w:szCs w:val="18"/>
                      </w:rPr>
                      <m:t>Utilidad</m:t>
                    </m:r>
                    <m:r>
                      <w:rPr>
                        <w:rFonts w:ascii="Cambria Math" w:eastAsia="Cambria Math" w:hAnsi="Cambria Math" w:cs="Cambria Math"/>
                        <w:sz w:val="18"/>
                        <w:szCs w:val="18"/>
                      </w:rPr>
                      <m:t xml:space="preserve"> </m:t>
                    </m:r>
                    <m:r>
                      <w:rPr>
                        <w:rFonts w:ascii="Cambria Math" w:eastAsia="Cambria Math" w:hAnsi="Cambria Math" w:cs="Cambria Math"/>
                        <w:sz w:val="18"/>
                        <w:szCs w:val="18"/>
                      </w:rPr>
                      <m:t>Operacional</m:t>
                    </m:r>
                  </m:num>
                  <m:den>
                    <m:r>
                      <w:rPr>
                        <w:rFonts w:ascii="Cambria Math" w:eastAsia="Cambria Math" w:hAnsi="Cambria Math" w:cs="Cambria Math"/>
                        <w:sz w:val="18"/>
                        <w:szCs w:val="18"/>
                      </w:rPr>
                      <m:t>Gastos</m:t>
                    </m:r>
                    <m:r>
                      <w:rPr>
                        <w:rFonts w:ascii="Cambria Math" w:eastAsia="Cambria Math" w:hAnsi="Cambria Math" w:cs="Cambria Math"/>
                        <w:sz w:val="18"/>
                        <w:szCs w:val="18"/>
                      </w:rPr>
                      <m:t xml:space="preserve"> </m:t>
                    </m:r>
                    <m:r>
                      <w:rPr>
                        <w:rFonts w:ascii="Cambria Math" w:eastAsia="Cambria Math" w:hAnsi="Cambria Math" w:cs="Cambria Math"/>
                        <w:sz w:val="18"/>
                        <w:szCs w:val="18"/>
                      </w:rPr>
                      <m:t>de</m:t>
                    </m:r>
                    <m:r>
                      <w:rPr>
                        <w:rFonts w:ascii="Cambria Math" w:eastAsia="Cambria Math" w:hAnsi="Cambria Math" w:cs="Cambria Math"/>
                        <w:sz w:val="18"/>
                        <w:szCs w:val="18"/>
                      </w:rPr>
                      <m:t xml:space="preserve"> </m:t>
                    </m:r>
                    <m:r>
                      <w:rPr>
                        <w:rFonts w:ascii="Cambria Math" w:eastAsia="Cambria Math" w:hAnsi="Cambria Math" w:cs="Cambria Math"/>
                        <w:sz w:val="18"/>
                        <w:szCs w:val="18"/>
                      </w:rPr>
                      <m:t>Interes</m:t>
                    </m:r>
                  </m:den>
                </m:f>
              </m:oMath>
            </m:oMathPara>
          </w:p>
        </w:tc>
      </w:tr>
    </w:tbl>
    <w:p w:rsidR="00522688" w:rsidRDefault="00522688"/>
    <w:p w:rsidR="00522688" w:rsidRDefault="004E4FBB">
      <w:r>
        <w:t>Si el Proponente es plural cada indicador debe calcularse así:</w:t>
      </w:r>
    </w:p>
    <w:p w:rsidR="00522688" w:rsidRDefault="00522688"/>
    <w:p w:rsidR="00522688" w:rsidRDefault="004E4FBB">
      <w:pPr>
        <w:jc w:val="center"/>
        <w:rPr>
          <w:rFonts w:ascii="Cambria Math" w:eastAsia="Cambria Math" w:hAnsi="Cambria Math" w:cs="Cambria Math"/>
        </w:rPr>
      </w:pPr>
      <m:oMathPara>
        <m:oMath>
          <m:r>
            <w:rPr>
              <w:rFonts w:ascii="Cambria Math" w:eastAsia="Cambria Math" w:hAnsi="Cambria Math" w:cs="Cambria Math"/>
            </w:rPr>
            <m:t>Indicador</m:t>
          </m:r>
          <m:r>
            <w:rPr>
              <w:rFonts w:ascii="Cambria Math" w:eastAsia="Cambria Math" w:hAnsi="Cambria Math" w:cs="Cambria Math"/>
            </w:rPr>
            <m:t>=</m:t>
          </m:r>
          <m:f>
            <m:fPr>
              <m:ctrlPr>
                <w:rPr>
                  <w:rFonts w:ascii="Cambria Math" w:eastAsia="Cambria Math" w:hAnsi="Cambria Math" w:cs="Cambria Math"/>
                </w:rPr>
              </m:ctrlPr>
            </m:fPr>
            <m:num>
              <m:d>
                <m:dPr>
                  <m:ctrlPr>
                    <w:rPr>
                      <w:rFonts w:ascii="Cambria Math" w:eastAsia="Cambria Math" w:hAnsi="Cambria Math" w:cs="Cambria Math"/>
                    </w:rPr>
                  </m:ctrlPr>
                </m:dPr>
                <m:e>
                  <m:nary>
                    <m:naryPr>
                      <m:chr m:val="∑"/>
                      <m:ctrlPr>
                        <w:rPr>
                          <w:rFonts w:ascii="Cambria Math" w:eastAsia="Cambria Math" w:hAnsi="Cambria Math" w:cs="Cambria Math"/>
                        </w:rPr>
                      </m:ctrlPr>
                    </m:naryPr>
                    <m:sub>
                      <m:r>
                        <w:rPr>
                          <w:rFonts w:ascii="Cambria Math" w:eastAsia="Cambria Math" w:hAnsi="Cambria Math" w:cs="Cambria Math"/>
                        </w:rPr>
                        <m:t>i</m:t>
                      </m:r>
                      <m:r>
                        <w:rPr>
                          <w:rFonts w:ascii="Cambria Math" w:eastAsia="Cambria Math" w:hAnsi="Cambria Math" w:cs="Cambria Math"/>
                        </w:rPr>
                        <m:t>=1</m:t>
                      </m:r>
                    </m:sub>
                    <m:sup>
                      <m:r>
                        <w:rPr>
                          <w:rFonts w:ascii="Cambria Math" w:eastAsia="Cambria Math" w:hAnsi="Cambria Math" w:cs="Cambria Math"/>
                        </w:rPr>
                        <m:t>n</m:t>
                      </m:r>
                    </m:sup>
                    <m:e/>
                  </m:nary>
                  <m:sSub>
                    <m:sSubPr>
                      <m:ctrlPr>
                        <w:rPr>
                          <w:rFonts w:ascii="Cambria Math" w:eastAsia="Cambria Math" w:hAnsi="Cambria Math" w:cs="Cambria Math"/>
                        </w:rPr>
                      </m:ctrlPr>
                    </m:sSubPr>
                    <m:e>
                      <m:r>
                        <w:rPr>
                          <w:rFonts w:ascii="Cambria Math" w:eastAsia="Cambria Math" w:hAnsi="Cambria Math" w:cs="Cambria Math"/>
                        </w:rPr>
                        <m:t>Componente</m:t>
                      </m:r>
                      <m:r>
                        <w:rPr>
                          <w:rFonts w:ascii="Cambria Math" w:eastAsia="Cambria Math" w:hAnsi="Cambria Math" w:cs="Cambria Math"/>
                        </w:rPr>
                        <m:t xml:space="preserve"> 1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indicador</m:t>
                      </m:r>
                    </m:e>
                    <m:sub>
                      <m:r>
                        <w:rPr>
                          <w:rFonts w:ascii="Cambria Math" w:eastAsia="Cambria Math" w:hAnsi="Cambria Math" w:cs="Cambria Math"/>
                        </w:rPr>
                        <m:t>i</m:t>
                      </m:r>
                    </m:sub>
                  </m:sSub>
                </m:e>
              </m:d>
            </m:num>
            <m:den>
              <m:d>
                <m:dPr>
                  <m:ctrlPr>
                    <w:rPr>
                      <w:rFonts w:ascii="Cambria Math" w:eastAsia="Cambria Math" w:hAnsi="Cambria Math" w:cs="Cambria Math"/>
                    </w:rPr>
                  </m:ctrlPr>
                </m:dPr>
                <m:e>
                  <m:nary>
                    <m:naryPr>
                      <m:chr m:val="∑"/>
                      <m:ctrlPr>
                        <w:rPr>
                          <w:rFonts w:ascii="Cambria Math" w:eastAsia="Cambria Math" w:hAnsi="Cambria Math" w:cs="Cambria Math"/>
                        </w:rPr>
                      </m:ctrlPr>
                    </m:naryPr>
                    <m:sub>
                      <m:r>
                        <w:rPr>
                          <w:rFonts w:ascii="Cambria Math" w:eastAsia="Cambria Math" w:hAnsi="Cambria Math" w:cs="Cambria Math"/>
                        </w:rPr>
                        <m:t>i</m:t>
                      </m:r>
                      <m:r>
                        <w:rPr>
                          <w:rFonts w:ascii="Cambria Math" w:eastAsia="Cambria Math" w:hAnsi="Cambria Math" w:cs="Cambria Math"/>
                        </w:rPr>
                        <m:t>=1</m:t>
                      </m:r>
                    </m:sub>
                    <m:sup>
                      <m:r>
                        <w:rPr>
                          <w:rFonts w:ascii="Cambria Math" w:eastAsia="Cambria Math" w:hAnsi="Cambria Math" w:cs="Cambria Math"/>
                        </w:rPr>
                        <m:t>n</m:t>
                      </m:r>
                    </m:sup>
                    <m:e/>
                  </m:nary>
                  <m:sSub>
                    <m:sSubPr>
                      <m:ctrlPr>
                        <w:rPr>
                          <w:rFonts w:ascii="Cambria Math" w:eastAsia="Cambria Math" w:hAnsi="Cambria Math" w:cs="Cambria Math"/>
                        </w:rPr>
                      </m:ctrlPr>
                    </m:sSubPr>
                    <m:e>
                      <m:r>
                        <w:rPr>
                          <w:rFonts w:ascii="Cambria Math" w:eastAsia="Cambria Math" w:hAnsi="Cambria Math" w:cs="Cambria Math"/>
                        </w:rPr>
                        <m:t>Componente</m:t>
                      </m:r>
                      <m:r>
                        <w:rPr>
                          <w:rFonts w:ascii="Cambria Math" w:eastAsia="Cambria Math" w:hAnsi="Cambria Math" w:cs="Cambria Math"/>
                        </w:rPr>
                        <m:t xml:space="preserve"> 2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indicador</m:t>
                      </m:r>
                    </m:e>
                    <m:sub>
                      <m:r>
                        <w:rPr>
                          <w:rFonts w:ascii="Cambria Math" w:eastAsia="Cambria Math" w:hAnsi="Cambria Math" w:cs="Cambria Math"/>
                        </w:rPr>
                        <m:t>i</m:t>
                      </m:r>
                    </m:sub>
                  </m:sSub>
                </m:e>
              </m:d>
            </m:den>
          </m:f>
        </m:oMath>
      </m:oMathPara>
    </w:p>
    <w:p w:rsidR="00522688" w:rsidRDefault="00522688"/>
    <w:p w:rsidR="00522688" w:rsidRDefault="004E4FBB">
      <w:r>
        <w:t>Donde n es el número de integrantes del Proponente Plural (Unión Temporal o Consorcio).</w:t>
      </w:r>
    </w:p>
    <w:p w:rsidR="00522688" w:rsidRDefault="00522688"/>
    <w:p w:rsidR="00522688" w:rsidRDefault="004E4FBB">
      <w:r>
        <w:t xml:space="preserve">El Proponente que no tiene pasivos corrientes está habilitado respecto del índice de liquidez. </w:t>
      </w:r>
    </w:p>
    <w:p w:rsidR="00522688" w:rsidRDefault="00522688"/>
    <w:p w:rsidR="00522688" w:rsidRDefault="004E4FBB">
      <w:r>
        <w:t xml:space="preserve">El Proponente que </w:t>
      </w:r>
      <w:r>
        <w:t xml:space="preserve">no tiene gastos de intereses está habilitado respecto de la razón de cobertura de intereses, siempre y cuando la utilidad operacional sea igual o mayor a cero (0). </w:t>
      </w:r>
    </w:p>
    <w:p w:rsidR="00522688" w:rsidRDefault="00522688"/>
    <w:p w:rsidR="00522688" w:rsidRDefault="004E4FBB">
      <w:r>
        <w:lastRenderedPageBreak/>
        <w:t>El Proponente que demuestre la condición de Mipyme domiciliada en Colombia acreditará la c</w:t>
      </w:r>
      <w:r>
        <w:t>apacidad financiera de acuerdo con los indicadores señalados en la Matriz 2 – Indicadores financieros y organizacionales. El Proponente acreditará la condición de Mipyme con la copia del certificado del Registro Único de Proponentes, el cual deberá encontr</w:t>
      </w:r>
      <w:r>
        <w:t xml:space="preserve">arse vigente y en firme al momento de su presentación. </w:t>
      </w:r>
    </w:p>
    <w:p w:rsidR="00522688" w:rsidRDefault="00522688"/>
    <w:p w:rsidR="00522688" w:rsidRDefault="004E4FBB">
      <w:pPr>
        <w:pStyle w:val="Ttulo2"/>
        <w:numPr>
          <w:ilvl w:val="1"/>
          <w:numId w:val="15"/>
        </w:numPr>
        <w:ind w:left="709" w:hanging="709"/>
      </w:pPr>
      <w:bookmarkStart w:id="46" w:name="_heading=h.3tbugp1" w:colFirst="0" w:colLast="0"/>
      <w:bookmarkEnd w:id="46"/>
      <w:r>
        <w:t>CAPITAL DE TRABAJO</w:t>
      </w:r>
    </w:p>
    <w:p w:rsidR="00522688" w:rsidRDefault="00522688"/>
    <w:p w:rsidR="00522688" w:rsidRDefault="004E4FBB">
      <w:r>
        <w:t>Para el Proceso de Contratación los proponentes deberán acreditar:</w:t>
      </w:r>
    </w:p>
    <w:p w:rsidR="00522688" w:rsidRDefault="00522688"/>
    <w:p w:rsidR="00522688" w:rsidRDefault="004E4FBB">
      <w:pPr>
        <w:jc w:val="center"/>
        <w:rPr>
          <w:rFonts w:ascii="Cambria Math" w:eastAsia="Cambria Math" w:hAnsi="Cambria Math" w:cs="Cambria Math"/>
        </w:rPr>
      </w:pPr>
      <m:oMathPara>
        <m:oMath>
          <m:r>
            <w:rPr>
              <w:rFonts w:ascii="Cambria Math" w:eastAsia="Cambria Math" w:hAnsi="Cambria Math" w:cs="Cambria Math"/>
            </w:rPr>
            <m:t>CT</m:t>
          </m:r>
          <m:r>
            <w:rPr>
              <w:rFonts w:ascii="Cambria Math" w:eastAsia="Cambria Math" w:hAnsi="Cambria Math" w:cs="Cambria Math"/>
            </w:rPr>
            <m:t>=</m:t>
          </m:r>
          <m:r>
            <w:rPr>
              <w:rFonts w:ascii="Cambria Math" w:eastAsia="Cambria Math" w:hAnsi="Cambria Math" w:cs="Cambria Math"/>
            </w:rPr>
            <m:t>AC</m:t>
          </m:r>
          <m:r>
            <w:rPr>
              <w:rFonts w:ascii="Cambria Math" w:eastAsia="Cambria Math" w:hAnsi="Cambria Math" w:cs="Cambria Math"/>
            </w:rPr>
            <m:t>-</m:t>
          </m:r>
          <m:r>
            <w:rPr>
              <w:rFonts w:ascii="Cambria Math" w:eastAsia="Cambria Math" w:hAnsi="Cambria Math" w:cs="Cambria Math"/>
            </w:rPr>
            <m:t>PC</m:t>
          </m:r>
          <m:r>
            <w:rPr>
              <w:rFonts w:ascii="Cambria Math" w:eastAsia="Cambria Math" w:hAnsi="Cambria Math" w:cs="Cambria Math"/>
            </w:rPr>
            <m:t>≥</m:t>
          </m:r>
          <m:r>
            <w:rPr>
              <w:rFonts w:ascii="Cambria Math" w:eastAsia="Cambria Math" w:hAnsi="Cambria Math" w:cs="Cambria Math"/>
            </w:rPr>
            <m:t>CTd</m:t>
          </m:r>
        </m:oMath>
      </m:oMathPara>
    </w:p>
    <w:p w:rsidR="00522688" w:rsidRDefault="00522688"/>
    <w:p w:rsidR="00522688" w:rsidRDefault="004E4FBB">
      <w:r>
        <w:t>Donde,</w:t>
      </w:r>
    </w:p>
    <w:p w:rsidR="00522688" w:rsidRDefault="00522688"/>
    <w:p w:rsidR="00522688" w:rsidRDefault="004E4FBB">
      <w:r>
        <w:t>CT = Capital de trabajo</w:t>
      </w:r>
    </w:p>
    <w:p w:rsidR="00522688" w:rsidRDefault="00522688"/>
    <w:p w:rsidR="00522688" w:rsidRDefault="004E4FBB">
      <w:r>
        <w:t>AC = Activo corriente</w:t>
      </w:r>
    </w:p>
    <w:p w:rsidR="00522688" w:rsidRDefault="00522688"/>
    <w:p w:rsidR="00522688" w:rsidRDefault="004E4FBB">
      <w:r>
        <w:t>PC = Pasivo corriente</w:t>
      </w:r>
    </w:p>
    <w:p w:rsidR="00522688" w:rsidRDefault="00522688"/>
    <w:p w:rsidR="00522688" w:rsidRDefault="004E4FBB">
      <w:r>
        <w:t>CTd = Cap</w:t>
      </w:r>
      <w:r>
        <w:t>ital de trabajo demandado (requerido) para el proceso que presenta la propuesta</w:t>
      </w:r>
    </w:p>
    <w:p w:rsidR="00522688" w:rsidRDefault="00522688"/>
    <w:p w:rsidR="00522688" w:rsidRDefault="004E4FBB">
      <w:r>
        <w:t>El capital de trabajo (CT) del oferente deberá ser mayor o igual al capital de trabajo demandado (requerido) (CTd):</w:t>
      </w:r>
    </w:p>
    <w:p w:rsidR="00522688" w:rsidRDefault="00522688"/>
    <w:p w:rsidR="00522688" w:rsidRDefault="004E4FBB">
      <w:pPr>
        <w:jc w:val="center"/>
        <w:rPr>
          <w:rFonts w:ascii="Cambria Math" w:eastAsia="Cambria Math" w:hAnsi="Cambria Math" w:cs="Cambria Math"/>
        </w:rPr>
      </w:pPr>
      <m:oMathPara>
        <m:oMath>
          <m:r>
            <w:rPr>
              <w:rFonts w:ascii="Cambria Math" w:eastAsia="Cambria Math" w:hAnsi="Cambria Math" w:cs="Cambria Math"/>
            </w:rPr>
            <m:t>CT</m:t>
          </m:r>
          <m:r>
            <w:rPr>
              <w:rFonts w:ascii="Cambria Math" w:eastAsia="Cambria Math" w:hAnsi="Cambria Math" w:cs="Cambria Math"/>
            </w:rPr>
            <m:t>≥</m:t>
          </m:r>
          <m:r>
            <w:rPr>
              <w:rFonts w:ascii="Cambria Math" w:eastAsia="Cambria Math" w:hAnsi="Cambria Math" w:cs="Cambria Math"/>
            </w:rPr>
            <m:t>CTd</m:t>
          </m:r>
        </m:oMath>
      </m:oMathPara>
    </w:p>
    <w:p w:rsidR="00522688" w:rsidRDefault="00522688"/>
    <w:p w:rsidR="00522688" w:rsidRDefault="004E4FBB">
      <w:pPr>
        <w:rPr>
          <w:b/>
          <w:i/>
          <w:u w:val="single"/>
        </w:rPr>
      </w:pPr>
      <w:r>
        <w:rPr>
          <w:b/>
          <w:i/>
          <w:u w:val="single"/>
        </w:rPr>
        <w:t>Capital de Trabajo demandado (requerido):</w:t>
      </w:r>
    </w:p>
    <w:p w:rsidR="00522688" w:rsidRDefault="00522688"/>
    <w:p w:rsidR="00522688" w:rsidRDefault="004E4FBB">
      <w:r>
        <w:rPr>
          <w:highlight w:val="lightGray"/>
        </w:rPr>
        <w:t>[Para proyectos de consultoría cuyo plazo de ejecución sea igual o superior a 12 meses aplicará la siguiente redacción:]</w:t>
      </w:r>
    </w:p>
    <w:p w:rsidR="00522688" w:rsidRDefault="00522688"/>
    <w:p w:rsidR="00522688" w:rsidRDefault="004E4FBB">
      <w:r>
        <w:t>La determinación del capital de trabajo demandado (requerido), que es una medición de los recursos que se requieren para cubrir las necesidades contractuales equivalentes, al menos a (n) meses, se hará de acuerdo con la siguiente fórmula:</w:t>
      </w:r>
    </w:p>
    <w:p w:rsidR="00522688" w:rsidRDefault="00522688"/>
    <w:p w:rsidR="00522688" w:rsidRDefault="004E4FBB">
      <w:pPr>
        <w:jc w:val="center"/>
        <w:rPr>
          <w:rFonts w:ascii="Cambria Math" w:eastAsia="Cambria Math" w:hAnsi="Cambria Math" w:cs="Cambria Math"/>
        </w:rPr>
      </w:pPr>
      <m:oMathPara>
        <m:oMath>
          <m:r>
            <w:rPr>
              <w:rFonts w:ascii="Cambria Math" w:eastAsia="Cambria Math" w:hAnsi="Cambria Math" w:cs="Cambria Math"/>
            </w:rPr>
            <m:t>Capital</m:t>
          </m:r>
          <m:r>
            <w:rPr>
              <w:rFonts w:ascii="Cambria Math" w:eastAsia="Cambria Math" w:hAnsi="Cambria Math" w:cs="Cambria Math"/>
            </w:rPr>
            <m:t xml:space="preserve"> </m:t>
          </m:r>
          <m:r>
            <w:rPr>
              <w:rFonts w:ascii="Cambria Math" w:eastAsia="Cambria Math" w:hAnsi="Cambria Math" w:cs="Cambria Math"/>
            </w:rPr>
            <m:t>d</m:t>
          </m:r>
          <m:r>
            <w:rPr>
              <w:rFonts w:ascii="Cambria Math" w:eastAsia="Cambria Math" w:hAnsi="Cambria Math" w:cs="Cambria Math"/>
            </w:rPr>
            <m:t>e</m:t>
          </m:r>
          <m:r>
            <w:rPr>
              <w:rFonts w:ascii="Cambria Math" w:eastAsia="Cambria Math" w:hAnsi="Cambria Math" w:cs="Cambria Math"/>
            </w:rPr>
            <m:t xml:space="preserve"> </m:t>
          </m:r>
          <m:r>
            <w:rPr>
              <w:rFonts w:ascii="Cambria Math" w:eastAsia="Cambria Math" w:hAnsi="Cambria Math" w:cs="Cambria Math"/>
            </w:rPr>
            <m:t>Trabajo</m:t>
          </m:r>
          <m:r>
            <w:rPr>
              <w:rFonts w:ascii="Cambria Math" w:eastAsia="Cambria Math" w:hAnsi="Cambria Math" w:cs="Cambria Math"/>
            </w:rPr>
            <m:t xml:space="preserve"> </m:t>
          </m:r>
          <m:r>
            <w:rPr>
              <w:rFonts w:ascii="Cambria Math" w:eastAsia="Cambria Math" w:hAnsi="Cambria Math" w:cs="Cambria Math"/>
            </w:rPr>
            <m:t>requerido</m:t>
          </m:r>
          <m:r>
            <w:rPr>
              <w:rFonts w:ascii="Cambria Math" w:eastAsia="Cambria Math" w:hAnsi="Cambria Math" w:cs="Cambria Math"/>
            </w:rPr>
            <m:t>=</m:t>
          </m:r>
          <m:d>
            <m:dPr>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Valor</m:t>
                  </m:r>
                  <m:r>
                    <w:rPr>
                      <w:rFonts w:ascii="Cambria Math" w:eastAsia="Cambria Math" w:hAnsi="Cambria Math" w:cs="Cambria Math"/>
                    </w:rPr>
                    <m:t xml:space="preserve"> </m:t>
                  </m:r>
                  <m:r>
                    <w:rPr>
                      <w:rFonts w:ascii="Cambria Math" w:eastAsia="Cambria Math" w:hAnsi="Cambria Math" w:cs="Cambria Math"/>
                    </w:rPr>
                    <m:t>estimado</m:t>
                  </m:r>
                  <m:r>
                    <w:rPr>
                      <w:rFonts w:ascii="Cambria Math" w:eastAsia="Cambria Math" w:hAnsi="Cambria Math" w:cs="Cambria Math"/>
                    </w:rPr>
                    <m:t xml:space="preserve">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contrato</m:t>
                  </m:r>
                </m:num>
                <m:den>
                  <m:r>
                    <w:rPr>
                      <w:rFonts w:ascii="Cambria Math" w:eastAsia="Cambria Math" w:hAnsi="Cambria Math" w:cs="Cambria Math"/>
                    </w:rPr>
                    <m:t>Plazo</m:t>
                  </m:r>
                  <m:r>
                    <w:rPr>
                      <w:rFonts w:ascii="Cambria Math" w:eastAsia="Cambria Math" w:hAnsi="Cambria Math" w:cs="Cambria Math"/>
                    </w:rPr>
                    <m:t xml:space="preserve"> </m:t>
                  </m:r>
                  <m:r>
                    <w:rPr>
                      <w:rFonts w:ascii="Cambria Math" w:eastAsia="Cambria Math" w:hAnsi="Cambria Math" w:cs="Cambria Math"/>
                    </w:rPr>
                    <m:t>estimado</m:t>
                  </m:r>
                  <m:r>
                    <w:rPr>
                      <w:rFonts w:ascii="Cambria Math" w:eastAsia="Cambria Math" w:hAnsi="Cambria Math" w:cs="Cambria Math"/>
                    </w:rPr>
                    <m:t xml:space="preserve"> </m:t>
                  </m:r>
                  <m:r>
                    <w:rPr>
                      <w:rFonts w:ascii="Cambria Math" w:eastAsia="Cambria Math" w:hAnsi="Cambria Math" w:cs="Cambria Math"/>
                    </w:rPr>
                    <m:t>de</m:t>
                  </m:r>
                  <m:r>
                    <w:rPr>
                      <w:rFonts w:ascii="Cambria Math" w:eastAsia="Cambria Math" w:hAnsi="Cambria Math" w:cs="Cambria Math"/>
                    </w:rPr>
                    <m:t xml:space="preserve"> </m:t>
                  </m:r>
                  <m:r>
                    <w:rPr>
                      <w:rFonts w:ascii="Cambria Math" w:eastAsia="Cambria Math" w:hAnsi="Cambria Math" w:cs="Cambria Math"/>
                    </w:rPr>
                    <m:t>ejecuci</m:t>
                  </m:r>
                  <m:r>
                    <w:rPr>
                      <w:rFonts w:ascii="Cambria Math" w:eastAsia="Cambria Math" w:hAnsi="Cambria Math" w:cs="Cambria Math"/>
                    </w:rPr>
                    <m:t>ó</m:t>
                  </m:r>
                  <m:r>
                    <w:rPr>
                      <w:rFonts w:ascii="Cambria Math" w:eastAsia="Cambria Math" w:hAnsi="Cambria Math" w:cs="Cambria Math"/>
                    </w:rPr>
                    <m:t>n</m:t>
                  </m:r>
                  <m:r>
                    <w:rPr>
                      <w:rFonts w:ascii="Cambria Math" w:eastAsia="Cambria Math" w:hAnsi="Cambria Math" w:cs="Cambria Math"/>
                    </w:rPr>
                    <m:t xml:space="preserve"> </m:t>
                  </m:r>
                  <m:r>
                    <w:rPr>
                      <w:rFonts w:ascii="Cambria Math" w:eastAsia="Cambria Math" w:hAnsi="Cambria Math" w:cs="Cambria Math"/>
                    </w:rPr>
                    <m:t>en</m:t>
                  </m:r>
                  <m:r>
                    <w:rPr>
                      <w:rFonts w:ascii="Cambria Math" w:eastAsia="Cambria Math" w:hAnsi="Cambria Math" w:cs="Cambria Math"/>
                    </w:rPr>
                    <m:t xml:space="preserve"> </m:t>
                  </m:r>
                  <m:r>
                    <w:rPr>
                      <w:rFonts w:ascii="Cambria Math" w:eastAsia="Cambria Math" w:hAnsi="Cambria Math" w:cs="Cambria Math"/>
                    </w:rPr>
                    <m:t>meses</m:t>
                  </m:r>
                  <m:r>
                    <w:rPr>
                      <w:rFonts w:ascii="Cambria Math" w:eastAsia="Cambria Math" w:hAnsi="Cambria Math" w:cs="Cambria Math"/>
                    </w:rPr>
                    <m:t xml:space="preserve">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contrato</m:t>
                  </m:r>
                </m:den>
              </m:f>
            </m:e>
          </m:d>
          <m:r>
            <w:rPr>
              <w:rFonts w:ascii="Cambria Math" w:eastAsia="Cambria Math" w:hAnsi="Cambria Math" w:cs="Cambria Math"/>
            </w:rPr>
            <m:t>*</m:t>
          </m:r>
          <m:r>
            <w:rPr>
              <w:rFonts w:ascii="Cambria Math" w:eastAsia="Cambria Math" w:hAnsi="Cambria Math" w:cs="Cambria Math"/>
            </w:rPr>
            <m:t>3</m:t>
          </m:r>
        </m:oMath>
      </m:oMathPara>
    </w:p>
    <w:p w:rsidR="00522688" w:rsidRDefault="00522688"/>
    <w:p w:rsidR="00522688" w:rsidRDefault="004E4FBB">
      <w:r>
        <w:rPr>
          <w:highlight w:val="lightGray"/>
        </w:rPr>
        <w:t xml:space="preserve">[Para proyectos de consultoría cuyo plazo de ejecución sea inferior a 12 </w:t>
      </w:r>
      <w:r>
        <w:rPr>
          <w:highlight w:val="lightGray"/>
        </w:rPr>
        <w:t>meses aplicará la siguiente redacción:]</w:t>
      </w:r>
    </w:p>
    <w:p w:rsidR="00522688" w:rsidRDefault="00522688"/>
    <w:p w:rsidR="00522688" w:rsidRDefault="004E4FBB">
      <w:r>
        <w:t>El capital de trabajo demandado (requerido) para el proceso en el que se presenta la propuesta se calcula según la siguiente tabla:</w:t>
      </w:r>
    </w:p>
    <w:p w:rsidR="00522688" w:rsidRDefault="00522688"/>
    <w:tbl>
      <w:tblPr>
        <w:tblStyle w:val="a4"/>
        <w:tblW w:w="594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0"/>
        <w:gridCol w:w="2619"/>
      </w:tblGrid>
      <w:tr w:rsidR="00522688">
        <w:trPr>
          <w:trHeight w:val="283"/>
          <w:jc w:val="center"/>
        </w:trPr>
        <w:tc>
          <w:tcPr>
            <w:tcW w:w="3330" w:type="dxa"/>
            <w:shd w:val="clear" w:color="auto" w:fill="3B3838"/>
            <w:vAlign w:val="center"/>
          </w:tcPr>
          <w:p w:rsidR="00522688" w:rsidRDefault="004E4FBB">
            <w:pPr>
              <w:jc w:val="center"/>
              <w:rPr>
                <w:b/>
                <w:sz w:val="18"/>
                <w:szCs w:val="18"/>
              </w:rPr>
            </w:pPr>
            <w:r>
              <w:rPr>
                <w:b/>
                <w:sz w:val="18"/>
                <w:szCs w:val="18"/>
              </w:rPr>
              <w:t>Presupuesto oficial (SMMLV)</w:t>
            </w:r>
          </w:p>
        </w:tc>
        <w:tc>
          <w:tcPr>
            <w:tcW w:w="2619" w:type="dxa"/>
            <w:shd w:val="clear" w:color="auto" w:fill="3B3838"/>
            <w:vAlign w:val="center"/>
          </w:tcPr>
          <w:p w:rsidR="00522688" w:rsidRDefault="004E4FBB">
            <w:pPr>
              <w:jc w:val="center"/>
              <w:rPr>
                <w:b/>
                <w:sz w:val="18"/>
                <w:szCs w:val="18"/>
              </w:rPr>
            </w:pPr>
            <w:r>
              <w:rPr>
                <w:b/>
                <w:sz w:val="18"/>
                <w:szCs w:val="18"/>
              </w:rPr>
              <w:t>Fórmula</w:t>
            </w:r>
          </w:p>
        </w:tc>
      </w:tr>
      <w:tr w:rsidR="00522688">
        <w:trPr>
          <w:trHeight w:val="283"/>
          <w:jc w:val="center"/>
        </w:trPr>
        <w:tc>
          <w:tcPr>
            <w:tcW w:w="3330" w:type="dxa"/>
            <w:vAlign w:val="center"/>
          </w:tcPr>
          <w:p w:rsidR="00522688" w:rsidRDefault="004E4FBB">
            <w:pPr>
              <w:jc w:val="center"/>
              <w:rPr>
                <w:sz w:val="18"/>
                <w:szCs w:val="18"/>
              </w:rPr>
            </w:pPr>
            <w:r>
              <w:rPr>
                <w:sz w:val="18"/>
                <w:szCs w:val="18"/>
              </w:rPr>
              <w:t>1 a 5.000</w:t>
            </w:r>
          </w:p>
        </w:tc>
        <w:tc>
          <w:tcPr>
            <w:tcW w:w="2619" w:type="dxa"/>
            <w:vAlign w:val="center"/>
          </w:tcPr>
          <w:p w:rsidR="00522688" w:rsidRDefault="004E4FBB">
            <w:pPr>
              <w:jc w:val="center"/>
              <w:rPr>
                <w:rFonts w:ascii="Cambria Math" w:eastAsia="Cambria Math" w:hAnsi="Cambria Math" w:cs="Cambria Math"/>
                <w:sz w:val="18"/>
                <w:szCs w:val="18"/>
              </w:rPr>
            </w:pPr>
            <m:oMathPara>
              <m:oMath>
                <m:r>
                  <w:rPr>
                    <w:rFonts w:ascii="Cambria Math" w:eastAsia="Cambria Math" w:hAnsi="Cambria Math" w:cs="Cambria Math"/>
                    <w:sz w:val="18"/>
                    <w:szCs w:val="18"/>
                  </w:rPr>
                  <m:t>CTd</m:t>
                </m:r>
                <m:r>
                  <w:rPr>
                    <w:rFonts w:ascii="Cambria Math" w:eastAsia="Cambria Math" w:hAnsi="Cambria Math" w:cs="Cambria Math"/>
                    <w:sz w:val="18"/>
                    <w:szCs w:val="18"/>
                  </w:rPr>
                  <m:t>=10%*</m:t>
                </m:r>
                <m:d>
                  <m:dPr>
                    <m:ctrlPr>
                      <w:rPr>
                        <w:rFonts w:ascii="Cambria Math" w:eastAsia="Cambria Math" w:hAnsi="Cambria Math" w:cs="Cambria Math"/>
                        <w:sz w:val="18"/>
                        <w:szCs w:val="18"/>
                      </w:rPr>
                    </m:ctrlPr>
                  </m:dPr>
                  <m:e>
                    <m:r>
                      <w:rPr>
                        <w:rFonts w:ascii="Cambria Math" w:eastAsia="Cambria Math" w:hAnsi="Cambria Math" w:cs="Cambria Math"/>
                        <w:sz w:val="18"/>
                        <w:szCs w:val="18"/>
                      </w:rPr>
                      <m:t>PO</m:t>
                    </m:r>
                  </m:e>
                </m:d>
              </m:oMath>
            </m:oMathPara>
          </w:p>
        </w:tc>
      </w:tr>
      <w:tr w:rsidR="00522688">
        <w:trPr>
          <w:trHeight w:val="283"/>
          <w:jc w:val="center"/>
        </w:trPr>
        <w:tc>
          <w:tcPr>
            <w:tcW w:w="3330" w:type="dxa"/>
            <w:vAlign w:val="center"/>
          </w:tcPr>
          <w:p w:rsidR="00522688" w:rsidRDefault="004E4FBB">
            <w:pPr>
              <w:jc w:val="center"/>
              <w:rPr>
                <w:sz w:val="18"/>
                <w:szCs w:val="18"/>
              </w:rPr>
            </w:pPr>
            <w:r>
              <w:rPr>
                <w:sz w:val="18"/>
                <w:szCs w:val="18"/>
              </w:rPr>
              <w:t>5.001 a 10.000</w:t>
            </w:r>
          </w:p>
        </w:tc>
        <w:tc>
          <w:tcPr>
            <w:tcW w:w="2619" w:type="dxa"/>
            <w:vAlign w:val="center"/>
          </w:tcPr>
          <w:p w:rsidR="00522688" w:rsidRDefault="004E4FBB">
            <w:pPr>
              <w:jc w:val="center"/>
              <w:rPr>
                <w:rFonts w:ascii="Cambria Math" w:eastAsia="Cambria Math" w:hAnsi="Cambria Math" w:cs="Cambria Math"/>
                <w:sz w:val="18"/>
                <w:szCs w:val="18"/>
              </w:rPr>
            </w:pPr>
            <m:oMathPara>
              <m:oMath>
                <m:r>
                  <w:rPr>
                    <w:rFonts w:ascii="Cambria Math" w:eastAsia="Cambria Math" w:hAnsi="Cambria Math" w:cs="Cambria Math"/>
                    <w:sz w:val="18"/>
                    <w:szCs w:val="18"/>
                  </w:rPr>
                  <m:t>CTd</m:t>
                </m:r>
                <m:r>
                  <w:rPr>
                    <w:rFonts w:ascii="Cambria Math" w:eastAsia="Cambria Math" w:hAnsi="Cambria Math" w:cs="Cambria Math"/>
                    <w:sz w:val="18"/>
                    <w:szCs w:val="18"/>
                  </w:rPr>
                  <m:t>=20%*</m:t>
                </m:r>
                <m:d>
                  <m:dPr>
                    <m:ctrlPr>
                      <w:rPr>
                        <w:rFonts w:ascii="Cambria Math" w:eastAsia="Cambria Math" w:hAnsi="Cambria Math" w:cs="Cambria Math"/>
                        <w:sz w:val="18"/>
                        <w:szCs w:val="18"/>
                      </w:rPr>
                    </m:ctrlPr>
                  </m:dPr>
                  <m:e>
                    <m:r>
                      <w:rPr>
                        <w:rFonts w:ascii="Cambria Math" w:eastAsia="Cambria Math" w:hAnsi="Cambria Math" w:cs="Cambria Math"/>
                        <w:sz w:val="18"/>
                        <w:szCs w:val="18"/>
                      </w:rPr>
                      <m:t>PO</m:t>
                    </m:r>
                  </m:e>
                </m:d>
              </m:oMath>
            </m:oMathPara>
          </w:p>
        </w:tc>
      </w:tr>
      <w:tr w:rsidR="00522688">
        <w:trPr>
          <w:trHeight w:val="283"/>
          <w:jc w:val="center"/>
        </w:trPr>
        <w:tc>
          <w:tcPr>
            <w:tcW w:w="3330" w:type="dxa"/>
            <w:vAlign w:val="center"/>
          </w:tcPr>
          <w:p w:rsidR="00522688" w:rsidRDefault="004E4FBB">
            <w:pPr>
              <w:jc w:val="center"/>
              <w:rPr>
                <w:sz w:val="18"/>
                <w:szCs w:val="18"/>
              </w:rPr>
            </w:pPr>
            <w:r>
              <w:rPr>
                <w:sz w:val="18"/>
                <w:szCs w:val="18"/>
              </w:rPr>
              <w:t>Mayor o igual a 10.001</w:t>
            </w:r>
          </w:p>
        </w:tc>
        <w:tc>
          <w:tcPr>
            <w:tcW w:w="2619" w:type="dxa"/>
            <w:vAlign w:val="center"/>
          </w:tcPr>
          <w:p w:rsidR="00522688" w:rsidRDefault="004E4FBB">
            <w:pPr>
              <w:jc w:val="center"/>
              <w:rPr>
                <w:rFonts w:ascii="Cambria Math" w:eastAsia="Cambria Math" w:hAnsi="Cambria Math" w:cs="Cambria Math"/>
                <w:sz w:val="18"/>
                <w:szCs w:val="18"/>
              </w:rPr>
            </w:pPr>
            <m:oMathPara>
              <m:oMath>
                <m:r>
                  <w:rPr>
                    <w:rFonts w:ascii="Cambria Math" w:eastAsia="Cambria Math" w:hAnsi="Cambria Math" w:cs="Cambria Math"/>
                    <w:sz w:val="18"/>
                    <w:szCs w:val="18"/>
                  </w:rPr>
                  <m:t>CTd</m:t>
                </m:r>
                <m:r>
                  <w:rPr>
                    <w:rFonts w:ascii="Cambria Math" w:eastAsia="Cambria Math" w:hAnsi="Cambria Math" w:cs="Cambria Math"/>
                    <w:sz w:val="18"/>
                    <w:szCs w:val="18"/>
                  </w:rPr>
                  <m:t>=30%*</m:t>
                </m:r>
                <m:d>
                  <m:dPr>
                    <m:ctrlPr>
                      <w:rPr>
                        <w:rFonts w:ascii="Cambria Math" w:eastAsia="Cambria Math" w:hAnsi="Cambria Math" w:cs="Cambria Math"/>
                        <w:sz w:val="18"/>
                        <w:szCs w:val="18"/>
                      </w:rPr>
                    </m:ctrlPr>
                  </m:dPr>
                  <m:e>
                    <m:r>
                      <w:rPr>
                        <w:rFonts w:ascii="Cambria Math" w:eastAsia="Cambria Math" w:hAnsi="Cambria Math" w:cs="Cambria Math"/>
                        <w:sz w:val="18"/>
                        <w:szCs w:val="18"/>
                      </w:rPr>
                      <m:t>PO</m:t>
                    </m:r>
                  </m:e>
                </m:d>
              </m:oMath>
            </m:oMathPara>
          </w:p>
        </w:tc>
      </w:tr>
    </w:tbl>
    <w:p w:rsidR="00522688" w:rsidRDefault="00522688"/>
    <w:p w:rsidR="00522688" w:rsidRDefault="004E4FBB">
      <w:pPr>
        <w:rPr>
          <w:b/>
          <w:i/>
          <w:u w:val="single"/>
        </w:rPr>
      </w:pPr>
      <w:r>
        <w:rPr>
          <w:b/>
          <w:i/>
          <w:u w:val="single"/>
        </w:rPr>
        <w:lastRenderedPageBreak/>
        <w:t xml:space="preserve">Capital de Trabajo del Proponente: </w:t>
      </w:r>
    </w:p>
    <w:p w:rsidR="00522688" w:rsidRDefault="00522688"/>
    <w:p w:rsidR="00522688" w:rsidRDefault="004E4FBB">
      <w:r>
        <w:t>La determinación del capital de trabajo del Proponente se hará como se presenta a continuación:</w:t>
      </w:r>
    </w:p>
    <w:p w:rsidR="00522688" w:rsidRDefault="00522688"/>
    <w:p w:rsidR="00522688" w:rsidRDefault="004E4FBB">
      <w:pPr>
        <w:jc w:val="center"/>
      </w:pPr>
      <m:oMathPara>
        <m:oMath>
          <m:r>
            <w:rPr>
              <w:rFonts w:ascii="Cambria Math" w:eastAsia="Cambria Math" w:hAnsi="Cambria Math" w:cs="Cambria Math"/>
            </w:rPr>
            <m:t>Capital</m:t>
          </m:r>
          <m:r>
            <w:rPr>
              <w:rFonts w:ascii="Cambria Math" w:eastAsia="Cambria Math" w:hAnsi="Cambria Math" w:cs="Cambria Math"/>
            </w:rPr>
            <m:t xml:space="preserve"> </m:t>
          </m:r>
          <m:r>
            <w:rPr>
              <w:rFonts w:ascii="Cambria Math" w:eastAsia="Cambria Math" w:hAnsi="Cambria Math" w:cs="Cambria Math"/>
            </w:rPr>
            <m:t>de</m:t>
          </m:r>
          <m:r>
            <w:rPr>
              <w:rFonts w:ascii="Cambria Math" w:eastAsia="Cambria Math" w:hAnsi="Cambria Math" w:cs="Cambria Math"/>
            </w:rPr>
            <m:t xml:space="preserve"> </m:t>
          </m:r>
          <m:r>
            <w:rPr>
              <w:rFonts w:ascii="Cambria Math" w:eastAsia="Cambria Math" w:hAnsi="Cambria Math" w:cs="Cambria Math"/>
            </w:rPr>
            <m:t>trabajo</m:t>
          </m:r>
          <m:r>
            <w:rPr>
              <w:rFonts w:ascii="Cambria Math" w:eastAsia="Cambria Math" w:hAnsi="Cambria Math" w:cs="Cambria Math"/>
            </w:rPr>
            <m:t xml:space="preserve">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proponente</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Activo</m:t>
              </m:r>
              <m:r>
                <w:rPr>
                  <w:rFonts w:ascii="Cambria Math" w:eastAsia="Cambria Math" w:hAnsi="Cambria Math" w:cs="Cambria Math"/>
                </w:rPr>
                <m:t xml:space="preserve"> </m:t>
              </m:r>
              <m:r>
                <w:rPr>
                  <w:rFonts w:ascii="Cambria Math" w:eastAsia="Cambria Math" w:hAnsi="Cambria Math" w:cs="Cambria Math"/>
                </w:rPr>
                <m:t>Corriente</m:t>
              </m:r>
              <m:r>
                <w:rPr>
                  <w:rFonts w:ascii="Cambria Math" w:eastAsia="Cambria Math" w:hAnsi="Cambria Math" w:cs="Cambria Math"/>
                </w:rPr>
                <m:t>-</m:t>
              </m:r>
              <m:r>
                <w:rPr>
                  <w:rFonts w:ascii="Cambria Math" w:eastAsia="Cambria Math" w:hAnsi="Cambria Math" w:cs="Cambria Math"/>
                </w:rPr>
                <m:t>Pasivo</m:t>
              </m:r>
              <m:r>
                <w:rPr>
                  <w:rFonts w:ascii="Cambria Math" w:eastAsia="Cambria Math" w:hAnsi="Cambria Math" w:cs="Cambria Math"/>
                </w:rPr>
                <m:t xml:space="preserve"> </m:t>
              </m:r>
              <m:r>
                <w:rPr>
                  <w:rFonts w:ascii="Cambria Math" w:eastAsia="Cambria Math" w:hAnsi="Cambria Math" w:cs="Cambria Math"/>
                </w:rPr>
                <m:t>Corriente</m:t>
              </m:r>
            </m:e>
          </m:d>
          <m:r>
            <w:rPr>
              <w:rFonts w:ascii="Cambria Math" w:eastAsia="Cambria Math" w:hAnsi="Cambria Math" w:cs="Cambria Math"/>
            </w:rPr>
            <m:t>+</m:t>
          </m:r>
          <m:d>
            <m:dPr>
              <m:begChr m:val="{"/>
              <m:endChr m:val="}"/>
              <m:ctrlPr>
                <w:rPr>
                  <w:rFonts w:ascii="Cambria Math" w:hAnsi="Cambria Math"/>
                </w:rPr>
              </m:ctrlPr>
            </m:dPr>
            <m:e>
              <m:r>
                <w:rPr>
                  <w:rFonts w:ascii="Cambria Math" w:eastAsia="Cambria Math" w:hAnsi="Cambria Math" w:cs="Cambria Math"/>
                </w:rPr>
                <m:t>Anticipo</m:t>
              </m:r>
              <m:r>
                <w:rPr>
                  <w:rFonts w:ascii="Cambria Math" w:hAnsi="Cambria Math"/>
                </w:rPr>
                <m:t xml:space="preserve"> </m:t>
              </m:r>
              <m:r>
                <w:rPr>
                  <w:rFonts w:ascii="Cambria Math" w:eastAsia="Cambria Math" w:hAnsi="Cambria Math" w:cs="Cambria Math"/>
                </w:rPr>
                <m:t>ó</m:t>
              </m:r>
              <m:r>
                <w:rPr>
                  <w:rFonts w:ascii="Cambria Math" w:hAnsi="Cambria Math"/>
                </w:rPr>
                <m:t xml:space="preserve"> </m:t>
              </m:r>
              <m:r>
                <w:rPr>
                  <w:rFonts w:ascii="Cambria Math" w:eastAsia="Cambria Math" w:hAnsi="Cambria Math" w:cs="Cambria Math"/>
                </w:rPr>
                <m:t>Pago</m:t>
              </m:r>
              <m:r>
                <w:rPr>
                  <w:rFonts w:ascii="Cambria Math" w:eastAsia="Cambria Math" w:hAnsi="Cambria Math" w:cs="Cambria Math"/>
                </w:rPr>
                <m:t xml:space="preserve"> </m:t>
              </m:r>
              <m:r>
                <w:rPr>
                  <w:rFonts w:ascii="Cambria Math" w:eastAsia="Cambria Math" w:hAnsi="Cambria Math" w:cs="Cambria Math"/>
                </w:rPr>
                <m:t>Anticipo</m:t>
              </m:r>
              <m:r>
                <w:rPr>
                  <w:rFonts w:ascii="Cambria Math" w:hAnsi="Cambria Math"/>
                </w:rPr>
                <m:t xml:space="preserve"> </m:t>
              </m:r>
            </m:e>
          </m:d>
        </m:oMath>
      </m:oMathPara>
    </w:p>
    <w:p w:rsidR="00522688" w:rsidRDefault="00522688"/>
    <w:p w:rsidR="00522688" w:rsidRDefault="00522688"/>
    <w:p w:rsidR="00522688" w:rsidRDefault="004E4FBB">
      <w:r>
        <w:t xml:space="preserve">En ningún caso el capital de trabajo requerido excederá el valor del presupuesto oficial. </w:t>
      </w:r>
    </w:p>
    <w:p w:rsidR="00522688" w:rsidRDefault="00522688"/>
    <w:p w:rsidR="00522688" w:rsidRDefault="004E4FBB">
      <w:r>
        <w:t>Siendo Proponente Plural el indicador debe calculars</w:t>
      </w:r>
      <w:r>
        <w:t>e así:</w:t>
      </w:r>
    </w:p>
    <w:p w:rsidR="00522688" w:rsidRDefault="00522688"/>
    <w:p w:rsidR="00522688" w:rsidRDefault="004E4FBB">
      <w:pPr>
        <w:jc w:val="center"/>
        <w:rPr>
          <w:rFonts w:ascii="Cambria Math" w:eastAsia="Cambria Math" w:hAnsi="Cambria Math" w:cs="Cambria Math"/>
        </w:rPr>
      </w:pPr>
      <m:oMathPara>
        <m:oMath>
          <m:r>
            <w:rPr>
              <w:rFonts w:ascii="Cambria Math" w:eastAsia="Cambria Math" w:hAnsi="Cambria Math" w:cs="Cambria Math"/>
            </w:rPr>
            <m:t>CTproponente</m:t>
          </m:r>
          <m:r>
            <w:rPr>
              <w:rFonts w:ascii="Cambria Math" w:eastAsia="Cambria Math" w:hAnsi="Cambria Math" w:cs="Cambria Math"/>
            </w:rPr>
            <m:t xml:space="preserve"> </m:t>
          </m:r>
          <m:r>
            <w:rPr>
              <w:rFonts w:ascii="Cambria Math" w:eastAsia="Cambria Math" w:hAnsi="Cambria Math" w:cs="Cambria Math"/>
            </w:rPr>
            <m:t>plural</m:t>
          </m:r>
          <m:r>
            <w:rPr>
              <w:rFonts w:ascii="Cambria Math" w:eastAsia="Cambria Math" w:hAnsi="Cambria Math" w:cs="Cambria Math"/>
            </w:rPr>
            <m:t>=</m:t>
          </m:r>
          <m:nary>
            <m:naryPr>
              <m:chr m:val="∑"/>
              <m:ctrlPr>
                <w:rPr>
                  <w:rFonts w:ascii="Cambria Math" w:eastAsia="Cambria Math" w:hAnsi="Cambria Math" w:cs="Cambria Math"/>
                </w:rPr>
              </m:ctrlPr>
            </m:naryPr>
            <m:sub>
              <m:r>
                <w:rPr>
                  <w:rFonts w:ascii="Cambria Math" w:eastAsia="Cambria Math" w:hAnsi="Cambria Math" w:cs="Cambria Math"/>
                </w:rPr>
                <m:t>i</m:t>
              </m:r>
              <m:r>
                <w:rPr>
                  <w:rFonts w:ascii="Cambria Math" w:eastAsia="Cambria Math" w:hAnsi="Cambria Math" w:cs="Cambria Math"/>
                </w:rPr>
                <m:t>=1</m:t>
              </m:r>
            </m:sub>
            <m:sup>
              <m:r>
                <w:rPr>
                  <w:rFonts w:ascii="Cambria Math" w:eastAsia="Cambria Math" w:hAnsi="Cambria Math" w:cs="Cambria Math"/>
                </w:rPr>
                <m:t>n</m:t>
              </m:r>
            </m:sup>
            <m:e/>
          </m:nary>
          <m:sSub>
            <m:sSubPr>
              <m:ctrlPr>
                <w:rPr>
                  <w:rFonts w:ascii="Cambria Math" w:eastAsia="Cambria Math" w:hAnsi="Cambria Math" w:cs="Cambria Math"/>
                </w:rPr>
              </m:ctrlPr>
            </m:sSubPr>
            <m:e>
              <m:r>
                <w:rPr>
                  <w:rFonts w:ascii="Cambria Math" w:eastAsia="Cambria Math" w:hAnsi="Cambria Math" w:cs="Cambria Math"/>
                </w:rPr>
                <m:t>CT</m:t>
              </m:r>
            </m:e>
            <m:sub>
              <m:r>
                <w:rPr>
                  <w:rFonts w:ascii="Cambria Math" w:eastAsia="Cambria Math" w:hAnsi="Cambria Math" w:cs="Cambria Math"/>
                </w:rPr>
                <m:t>i</m:t>
              </m:r>
            </m:sub>
          </m:sSub>
        </m:oMath>
      </m:oMathPara>
    </w:p>
    <w:p w:rsidR="00522688" w:rsidRDefault="00522688"/>
    <w:p w:rsidR="00522688" w:rsidRDefault="004E4FBB">
      <w:r>
        <w:t xml:space="preserve">Donde </w:t>
      </w:r>
      <m:oMath>
        <m:r>
          <w:rPr>
            <w:rFonts w:ascii="Cambria Math" w:eastAsia="Cambria Math" w:hAnsi="Cambria Math" w:cs="Cambria Math"/>
          </w:rPr>
          <m:t>n</m:t>
        </m:r>
      </m:oMath>
      <w:r>
        <w:t xml:space="preserve"> es el número de integrantes del Proponente Plural (Unión Temporal o Consorcio).</w:t>
      </w:r>
    </w:p>
    <w:p w:rsidR="00522688" w:rsidRDefault="00522688"/>
    <w:p w:rsidR="00522688" w:rsidRDefault="004E4FBB">
      <w:pPr>
        <w:rPr>
          <w:highlight w:val="lightGray"/>
        </w:rPr>
      </w:pPr>
      <w:r>
        <w:rPr>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w:t>
      </w:r>
      <w:r>
        <w:rPr>
          <w:highlight w:val="lightGray"/>
        </w:rPr>
        <w:t>jo demandado se evaluará de manera independiente para cada uno de ellos.</w:t>
      </w:r>
    </w:p>
    <w:p w:rsidR="00522688" w:rsidRDefault="00522688">
      <w:pPr>
        <w:rPr>
          <w:highlight w:val="lightGray"/>
        </w:rPr>
      </w:pPr>
    </w:p>
    <w:p w:rsidR="00522688" w:rsidRDefault="004E4FBB">
      <w:r>
        <w:rPr>
          <w:highlight w:val="lightGray"/>
        </w:rPr>
        <w:t>En caso de resultar adjudicatario de más de un lote, se deberá calcular el nuevo capital de trabajo, restando del capital de trabajo calculado inicialmente el valor del capital de tr</w:t>
      </w:r>
      <w:r>
        <w:rPr>
          <w:highlight w:val="lightGray"/>
        </w:rPr>
        <w:t>abajo exigido del primer lote adjudicado y de manera sucesiva por cada lote adjudicado al mismo Proponente]</w:t>
      </w:r>
    </w:p>
    <w:p w:rsidR="00522688" w:rsidRDefault="00522688"/>
    <w:tbl>
      <w:tblPr>
        <w:tblStyle w:val="a5"/>
        <w:tblW w:w="45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5"/>
      </w:tblGrid>
      <w:tr w:rsidR="00522688">
        <w:trPr>
          <w:jc w:val="center"/>
        </w:trPr>
        <w:tc>
          <w:tcPr>
            <w:tcW w:w="4535" w:type="dxa"/>
            <w:shd w:val="clear" w:color="auto" w:fill="3B3838"/>
            <w:vAlign w:val="center"/>
          </w:tcPr>
          <w:p w:rsidR="00522688" w:rsidRDefault="004E4FBB">
            <w:pPr>
              <w:jc w:val="center"/>
              <w:rPr>
                <w:b/>
              </w:rPr>
            </w:pPr>
            <w:r>
              <w:rPr>
                <w:b/>
              </w:rPr>
              <w:t>Capital de trabajo Demandado</w:t>
            </w:r>
          </w:p>
        </w:tc>
      </w:tr>
      <w:tr w:rsidR="00522688">
        <w:trPr>
          <w:jc w:val="center"/>
        </w:trPr>
        <w:tc>
          <w:tcPr>
            <w:tcW w:w="4535" w:type="dxa"/>
            <w:vAlign w:val="center"/>
          </w:tcPr>
          <w:p w:rsidR="00522688" w:rsidRDefault="004E4FBB">
            <w:pPr>
              <w:jc w:val="center"/>
            </w:pPr>
            <w:r>
              <w:rPr>
                <w:highlight w:val="yellow"/>
              </w:rPr>
              <w:t>(Incluir el capital del trabajo del proceso)</w:t>
            </w:r>
          </w:p>
        </w:tc>
      </w:tr>
    </w:tbl>
    <w:p w:rsidR="00522688" w:rsidRDefault="00522688"/>
    <w:p w:rsidR="00522688" w:rsidRDefault="004E4FBB">
      <w:pPr>
        <w:pStyle w:val="Ttulo2"/>
        <w:numPr>
          <w:ilvl w:val="1"/>
          <w:numId w:val="15"/>
        </w:numPr>
        <w:ind w:left="709" w:hanging="709"/>
      </w:pPr>
      <w:bookmarkStart w:id="47" w:name="_heading=h.28h4qwu" w:colFirst="0" w:colLast="0"/>
      <w:bookmarkEnd w:id="47"/>
      <w:r>
        <w:t xml:space="preserve">CAPACIDAD ORGANIZACIONAL </w:t>
      </w:r>
    </w:p>
    <w:p w:rsidR="00522688" w:rsidRDefault="00522688"/>
    <w:p w:rsidR="00522688" w:rsidRDefault="004E4FBB">
      <w:r>
        <w:t>Los Proponentes deberán acreditar los siguientes indicadores en los términos señalados en la Matriz 2 – Indicadores financieros y organizacionales:</w:t>
      </w:r>
    </w:p>
    <w:p w:rsidR="00522688" w:rsidRDefault="00522688"/>
    <w:tbl>
      <w:tblPr>
        <w:tblStyle w:val="a6"/>
        <w:tblW w:w="481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3"/>
        <w:gridCol w:w="2542"/>
      </w:tblGrid>
      <w:tr w:rsidR="00522688">
        <w:trPr>
          <w:trHeight w:val="283"/>
          <w:jc w:val="center"/>
        </w:trPr>
        <w:tc>
          <w:tcPr>
            <w:tcW w:w="2273" w:type="dxa"/>
            <w:shd w:val="clear" w:color="auto" w:fill="3B3838"/>
            <w:vAlign w:val="center"/>
          </w:tcPr>
          <w:p w:rsidR="00522688" w:rsidRDefault="004E4FBB">
            <w:pPr>
              <w:jc w:val="center"/>
              <w:rPr>
                <w:b/>
                <w:sz w:val="18"/>
                <w:szCs w:val="18"/>
              </w:rPr>
            </w:pPr>
            <w:r>
              <w:rPr>
                <w:b/>
                <w:sz w:val="18"/>
                <w:szCs w:val="18"/>
              </w:rPr>
              <w:t>Indicador</w:t>
            </w:r>
          </w:p>
        </w:tc>
        <w:tc>
          <w:tcPr>
            <w:tcW w:w="2542" w:type="dxa"/>
            <w:shd w:val="clear" w:color="auto" w:fill="3B3838"/>
            <w:vAlign w:val="center"/>
          </w:tcPr>
          <w:p w:rsidR="00522688" w:rsidRDefault="004E4FBB">
            <w:pPr>
              <w:jc w:val="center"/>
              <w:rPr>
                <w:b/>
                <w:sz w:val="18"/>
                <w:szCs w:val="18"/>
              </w:rPr>
            </w:pPr>
            <w:r>
              <w:rPr>
                <w:b/>
                <w:sz w:val="18"/>
                <w:szCs w:val="18"/>
              </w:rPr>
              <w:t>Fórmula</w:t>
            </w:r>
          </w:p>
        </w:tc>
      </w:tr>
      <w:tr w:rsidR="00522688">
        <w:trPr>
          <w:trHeight w:val="567"/>
          <w:jc w:val="center"/>
        </w:trPr>
        <w:tc>
          <w:tcPr>
            <w:tcW w:w="2273" w:type="dxa"/>
            <w:vAlign w:val="center"/>
          </w:tcPr>
          <w:p w:rsidR="00522688" w:rsidRDefault="004E4FBB">
            <w:pPr>
              <w:jc w:val="center"/>
              <w:rPr>
                <w:sz w:val="18"/>
                <w:szCs w:val="18"/>
              </w:rPr>
            </w:pPr>
            <w:r>
              <w:rPr>
                <w:sz w:val="18"/>
                <w:szCs w:val="18"/>
              </w:rPr>
              <w:t>Rentabilidad sobre Patrimonio (ROE)</w:t>
            </w:r>
          </w:p>
        </w:tc>
        <w:tc>
          <w:tcPr>
            <w:tcW w:w="2542" w:type="dxa"/>
            <w:vAlign w:val="center"/>
          </w:tcPr>
          <w:p w:rsidR="00522688" w:rsidRDefault="004E4FBB">
            <w:pPr>
              <w:jc w:val="center"/>
              <w:rPr>
                <w:rFonts w:ascii="Cambria Math" w:eastAsia="Cambria Math" w:hAnsi="Cambria Math" w:cs="Cambria Math"/>
                <w:sz w:val="18"/>
                <w:szCs w:val="18"/>
              </w:rPr>
            </w:pPr>
            <m:oMathPara>
              <m:oMath>
                <m:f>
                  <m:fPr>
                    <m:ctrlPr>
                      <w:rPr>
                        <w:rFonts w:ascii="Cambria Math" w:eastAsia="Cambria Math" w:hAnsi="Cambria Math" w:cs="Cambria Math"/>
                        <w:sz w:val="18"/>
                        <w:szCs w:val="18"/>
                      </w:rPr>
                    </m:ctrlPr>
                  </m:fPr>
                  <m:num>
                    <m:r>
                      <w:rPr>
                        <w:rFonts w:ascii="Cambria Math" w:eastAsia="Cambria Math" w:hAnsi="Cambria Math" w:cs="Cambria Math"/>
                        <w:sz w:val="18"/>
                        <w:szCs w:val="18"/>
                      </w:rPr>
                      <m:t>Utilidad</m:t>
                    </m:r>
                    <m:r>
                      <w:rPr>
                        <w:rFonts w:ascii="Cambria Math" w:eastAsia="Cambria Math" w:hAnsi="Cambria Math" w:cs="Cambria Math"/>
                        <w:sz w:val="18"/>
                        <w:szCs w:val="18"/>
                      </w:rPr>
                      <m:t xml:space="preserve"> </m:t>
                    </m:r>
                    <m:r>
                      <w:rPr>
                        <w:rFonts w:ascii="Cambria Math" w:eastAsia="Cambria Math" w:hAnsi="Cambria Math" w:cs="Cambria Math"/>
                        <w:sz w:val="18"/>
                        <w:szCs w:val="18"/>
                      </w:rPr>
                      <m:t>Operacional</m:t>
                    </m:r>
                  </m:num>
                  <m:den>
                    <m:r>
                      <w:rPr>
                        <w:rFonts w:ascii="Cambria Math" w:eastAsia="Cambria Math" w:hAnsi="Cambria Math" w:cs="Cambria Math"/>
                        <w:sz w:val="18"/>
                        <w:szCs w:val="18"/>
                      </w:rPr>
                      <m:t>Patrimonio</m:t>
                    </m:r>
                  </m:den>
                </m:f>
              </m:oMath>
            </m:oMathPara>
          </w:p>
        </w:tc>
      </w:tr>
      <w:tr w:rsidR="00522688">
        <w:trPr>
          <w:trHeight w:val="567"/>
          <w:jc w:val="center"/>
        </w:trPr>
        <w:tc>
          <w:tcPr>
            <w:tcW w:w="2273" w:type="dxa"/>
            <w:vAlign w:val="center"/>
          </w:tcPr>
          <w:p w:rsidR="00522688" w:rsidRDefault="004E4FBB">
            <w:pPr>
              <w:jc w:val="center"/>
              <w:rPr>
                <w:sz w:val="18"/>
                <w:szCs w:val="18"/>
              </w:rPr>
            </w:pPr>
            <w:r>
              <w:rPr>
                <w:sz w:val="18"/>
                <w:szCs w:val="18"/>
              </w:rPr>
              <w:t>Rentabilidad del Activo (ROA)</w:t>
            </w:r>
          </w:p>
        </w:tc>
        <w:tc>
          <w:tcPr>
            <w:tcW w:w="2542" w:type="dxa"/>
            <w:vAlign w:val="center"/>
          </w:tcPr>
          <w:p w:rsidR="00522688" w:rsidRDefault="004E4FBB">
            <w:pPr>
              <w:jc w:val="center"/>
              <w:rPr>
                <w:rFonts w:ascii="Cambria Math" w:eastAsia="Cambria Math" w:hAnsi="Cambria Math" w:cs="Cambria Math"/>
                <w:sz w:val="18"/>
                <w:szCs w:val="18"/>
              </w:rPr>
            </w:pPr>
            <m:oMathPara>
              <m:oMath>
                <m:f>
                  <m:fPr>
                    <m:ctrlPr>
                      <w:rPr>
                        <w:rFonts w:ascii="Cambria Math" w:eastAsia="Cambria Math" w:hAnsi="Cambria Math" w:cs="Cambria Math"/>
                        <w:sz w:val="18"/>
                        <w:szCs w:val="18"/>
                      </w:rPr>
                    </m:ctrlPr>
                  </m:fPr>
                  <m:num>
                    <m:r>
                      <w:rPr>
                        <w:rFonts w:ascii="Cambria Math" w:eastAsia="Cambria Math" w:hAnsi="Cambria Math" w:cs="Cambria Math"/>
                        <w:sz w:val="18"/>
                        <w:szCs w:val="18"/>
                      </w:rPr>
                      <m:t>Utilidad</m:t>
                    </m:r>
                    <m:r>
                      <w:rPr>
                        <w:rFonts w:ascii="Cambria Math" w:eastAsia="Cambria Math" w:hAnsi="Cambria Math" w:cs="Cambria Math"/>
                        <w:sz w:val="18"/>
                        <w:szCs w:val="18"/>
                      </w:rPr>
                      <m:t xml:space="preserve"> </m:t>
                    </m:r>
                    <m:r>
                      <w:rPr>
                        <w:rFonts w:ascii="Cambria Math" w:eastAsia="Cambria Math" w:hAnsi="Cambria Math" w:cs="Cambria Math"/>
                        <w:sz w:val="18"/>
                        <w:szCs w:val="18"/>
                      </w:rPr>
                      <m:t>Operacional</m:t>
                    </m:r>
                  </m:num>
                  <m:den>
                    <m:r>
                      <w:rPr>
                        <w:rFonts w:ascii="Cambria Math" w:eastAsia="Cambria Math" w:hAnsi="Cambria Math" w:cs="Cambria Math"/>
                        <w:sz w:val="18"/>
                        <w:szCs w:val="18"/>
                      </w:rPr>
                      <m:t>Activo</m:t>
                    </m:r>
                    <m:r>
                      <w:rPr>
                        <w:rFonts w:ascii="Cambria Math" w:eastAsia="Cambria Math" w:hAnsi="Cambria Math" w:cs="Cambria Math"/>
                        <w:sz w:val="18"/>
                        <w:szCs w:val="18"/>
                      </w:rPr>
                      <m:t xml:space="preserve"> </m:t>
                    </m:r>
                    <m:r>
                      <w:rPr>
                        <w:rFonts w:ascii="Cambria Math" w:eastAsia="Cambria Math" w:hAnsi="Cambria Math" w:cs="Cambria Math"/>
                        <w:sz w:val="18"/>
                        <w:szCs w:val="18"/>
                      </w:rPr>
                      <m:t>Total</m:t>
                    </m:r>
                  </m:den>
                </m:f>
              </m:oMath>
            </m:oMathPara>
          </w:p>
        </w:tc>
      </w:tr>
    </w:tbl>
    <w:p w:rsidR="00522688" w:rsidRDefault="00522688"/>
    <w:p w:rsidR="00522688" w:rsidRDefault="004E4FBB">
      <w:r>
        <w:t>Si el Proponente es plural cada indicador debe calcularse así</w:t>
      </w:r>
    </w:p>
    <w:p w:rsidR="00522688" w:rsidRDefault="00522688"/>
    <w:p w:rsidR="00522688" w:rsidRDefault="004E4FBB">
      <w:pPr>
        <w:jc w:val="center"/>
        <w:rPr>
          <w:rFonts w:ascii="Cambria Math" w:eastAsia="Cambria Math" w:hAnsi="Cambria Math" w:cs="Cambria Math"/>
        </w:rPr>
      </w:pPr>
      <m:oMathPara>
        <m:oMath>
          <m:r>
            <w:rPr>
              <w:rFonts w:ascii="Cambria Math" w:eastAsia="Cambria Math" w:hAnsi="Cambria Math" w:cs="Cambria Math"/>
            </w:rPr>
            <m:t>Indicador</m:t>
          </m:r>
          <m:r>
            <w:rPr>
              <w:rFonts w:ascii="Cambria Math" w:eastAsia="Cambria Math" w:hAnsi="Cambria Math" w:cs="Cambria Math"/>
            </w:rPr>
            <m:t>=</m:t>
          </m:r>
          <m:f>
            <m:fPr>
              <m:ctrlPr>
                <w:rPr>
                  <w:rFonts w:ascii="Cambria Math" w:eastAsia="Cambria Math" w:hAnsi="Cambria Math" w:cs="Cambria Math"/>
                </w:rPr>
              </m:ctrlPr>
            </m:fPr>
            <m:num>
              <m:d>
                <m:dPr>
                  <m:ctrlPr>
                    <w:rPr>
                      <w:rFonts w:ascii="Cambria Math" w:eastAsia="Cambria Math" w:hAnsi="Cambria Math" w:cs="Cambria Math"/>
                    </w:rPr>
                  </m:ctrlPr>
                </m:dPr>
                <m:e>
                  <m:nary>
                    <m:naryPr>
                      <m:chr m:val="∑"/>
                      <m:ctrlPr>
                        <w:rPr>
                          <w:rFonts w:ascii="Cambria Math" w:eastAsia="Cambria Math" w:hAnsi="Cambria Math" w:cs="Cambria Math"/>
                        </w:rPr>
                      </m:ctrlPr>
                    </m:naryPr>
                    <m:sub>
                      <m:r>
                        <w:rPr>
                          <w:rFonts w:ascii="Cambria Math" w:eastAsia="Cambria Math" w:hAnsi="Cambria Math" w:cs="Cambria Math"/>
                        </w:rPr>
                        <m:t>i</m:t>
                      </m:r>
                      <m:r>
                        <w:rPr>
                          <w:rFonts w:ascii="Cambria Math" w:eastAsia="Cambria Math" w:hAnsi="Cambria Math" w:cs="Cambria Math"/>
                        </w:rPr>
                        <m:t>=1</m:t>
                      </m:r>
                    </m:sub>
                    <m:sup>
                      <m:r>
                        <w:rPr>
                          <w:rFonts w:ascii="Cambria Math" w:eastAsia="Cambria Math" w:hAnsi="Cambria Math" w:cs="Cambria Math"/>
                        </w:rPr>
                        <m:t>n</m:t>
                      </m:r>
                    </m:sup>
                    <m:e/>
                  </m:nary>
                  <m:sSub>
                    <m:sSubPr>
                      <m:ctrlPr>
                        <w:rPr>
                          <w:rFonts w:ascii="Cambria Math" w:eastAsia="Cambria Math" w:hAnsi="Cambria Math" w:cs="Cambria Math"/>
                        </w:rPr>
                      </m:ctrlPr>
                    </m:sSubPr>
                    <m:e>
                      <m:r>
                        <w:rPr>
                          <w:rFonts w:ascii="Cambria Math" w:eastAsia="Cambria Math" w:hAnsi="Cambria Math" w:cs="Cambria Math"/>
                        </w:rPr>
                        <m:t>Componente</m:t>
                      </m:r>
                      <m:r>
                        <w:rPr>
                          <w:rFonts w:ascii="Cambria Math" w:eastAsia="Cambria Math" w:hAnsi="Cambria Math" w:cs="Cambria Math"/>
                        </w:rPr>
                        <m:t xml:space="preserve"> 1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indicador</m:t>
                      </m:r>
                    </m:e>
                    <m:sub>
                      <m:r>
                        <w:rPr>
                          <w:rFonts w:ascii="Cambria Math" w:eastAsia="Cambria Math" w:hAnsi="Cambria Math" w:cs="Cambria Math"/>
                        </w:rPr>
                        <m:t>i</m:t>
                      </m:r>
                    </m:sub>
                  </m:sSub>
                </m:e>
              </m:d>
            </m:num>
            <m:den>
              <m:d>
                <m:dPr>
                  <m:ctrlPr>
                    <w:rPr>
                      <w:rFonts w:ascii="Cambria Math" w:eastAsia="Cambria Math" w:hAnsi="Cambria Math" w:cs="Cambria Math"/>
                    </w:rPr>
                  </m:ctrlPr>
                </m:dPr>
                <m:e>
                  <m:nary>
                    <m:naryPr>
                      <m:chr m:val="∑"/>
                      <m:ctrlPr>
                        <w:rPr>
                          <w:rFonts w:ascii="Cambria Math" w:eastAsia="Cambria Math" w:hAnsi="Cambria Math" w:cs="Cambria Math"/>
                        </w:rPr>
                      </m:ctrlPr>
                    </m:naryPr>
                    <m:sub>
                      <m:r>
                        <w:rPr>
                          <w:rFonts w:ascii="Cambria Math" w:eastAsia="Cambria Math" w:hAnsi="Cambria Math" w:cs="Cambria Math"/>
                        </w:rPr>
                        <m:t>i</m:t>
                      </m:r>
                      <m:r>
                        <w:rPr>
                          <w:rFonts w:ascii="Cambria Math" w:eastAsia="Cambria Math" w:hAnsi="Cambria Math" w:cs="Cambria Math"/>
                        </w:rPr>
                        <m:t>=1</m:t>
                      </m:r>
                    </m:sub>
                    <m:sup>
                      <m:r>
                        <w:rPr>
                          <w:rFonts w:ascii="Cambria Math" w:eastAsia="Cambria Math" w:hAnsi="Cambria Math" w:cs="Cambria Math"/>
                        </w:rPr>
                        <m:t>n</m:t>
                      </m:r>
                    </m:sup>
                    <m:e/>
                  </m:nary>
                  <m:sSub>
                    <m:sSubPr>
                      <m:ctrlPr>
                        <w:rPr>
                          <w:rFonts w:ascii="Cambria Math" w:eastAsia="Cambria Math" w:hAnsi="Cambria Math" w:cs="Cambria Math"/>
                        </w:rPr>
                      </m:ctrlPr>
                    </m:sSubPr>
                    <m:e>
                      <m:r>
                        <w:rPr>
                          <w:rFonts w:ascii="Cambria Math" w:eastAsia="Cambria Math" w:hAnsi="Cambria Math" w:cs="Cambria Math"/>
                        </w:rPr>
                        <m:t>Componente</m:t>
                      </m:r>
                      <m:r>
                        <w:rPr>
                          <w:rFonts w:ascii="Cambria Math" w:eastAsia="Cambria Math" w:hAnsi="Cambria Math" w:cs="Cambria Math"/>
                        </w:rPr>
                        <m:t xml:space="preserve"> 2 </m:t>
                      </m:r>
                      <m:r>
                        <w:rPr>
                          <w:rFonts w:ascii="Cambria Math" w:eastAsia="Cambria Math" w:hAnsi="Cambria Math" w:cs="Cambria Math"/>
                        </w:rPr>
                        <m:t>del</m:t>
                      </m:r>
                      <m:r>
                        <w:rPr>
                          <w:rFonts w:ascii="Cambria Math" w:eastAsia="Cambria Math" w:hAnsi="Cambria Math" w:cs="Cambria Math"/>
                        </w:rPr>
                        <m:t xml:space="preserve"> </m:t>
                      </m:r>
                      <m:r>
                        <w:rPr>
                          <w:rFonts w:ascii="Cambria Math" w:eastAsia="Cambria Math" w:hAnsi="Cambria Math" w:cs="Cambria Math"/>
                        </w:rPr>
                        <m:t>indicador</m:t>
                      </m:r>
                    </m:e>
                    <m:sub>
                      <m:r>
                        <w:rPr>
                          <w:rFonts w:ascii="Cambria Math" w:eastAsia="Cambria Math" w:hAnsi="Cambria Math" w:cs="Cambria Math"/>
                        </w:rPr>
                        <m:t>i</m:t>
                      </m:r>
                    </m:sub>
                  </m:sSub>
                </m:e>
              </m:d>
            </m:den>
          </m:f>
        </m:oMath>
      </m:oMathPara>
    </w:p>
    <w:p w:rsidR="00522688" w:rsidRDefault="00522688"/>
    <w:p w:rsidR="00522688" w:rsidRDefault="004E4FBB">
      <w:r>
        <w:t xml:space="preserve">Donde </w:t>
      </w:r>
      <m:oMath>
        <m:r>
          <w:rPr>
            <w:rFonts w:ascii="Cambria Math" w:eastAsia="Cambria Math" w:hAnsi="Cambria Math" w:cs="Cambria Math"/>
          </w:rPr>
          <m:t>n</m:t>
        </m:r>
      </m:oMath>
      <w:r>
        <w:t xml:space="preserve"> es el número de integrantes del Proponente Plural (Unión Temporal o Consorcio).</w:t>
      </w:r>
    </w:p>
    <w:p w:rsidR="00522688" w:rsidRDefault="00522688"/>
    <w:p w:rsidR="00522688" w:rsidRDefault="004E4FBB">
      <w:r>
        <w:rPr>
          <w:highlight w:val="lightGray"/>
        </w:rPr>
        <w:lastRenderedPageBreak/>
        <w:t>(Incluir el siguiente párrafo en caso de aplicar criterios diferenciales para Mipymes o Emprendimientos y Em</w:t>
      </w:r>
      <w:r>
        <w:rPr>
          <w:highlight w:val="lightGray"/>
        </w:rPr>
        <w:t>presas de Mujeres, ajustándolo de acuerdo con el resultado del análisis del sector, de lo contrario elimínelo)</w:t>
      </w:r>
      <w:r>
        <w:t xml:space="preserve"> </w:t>
      </w:r>
    </w:p>
    <w:p w:rsidR="00522688" w:rsidRDefault="00522688"/>
    <w:p w:rsidR="00522688" w:rsidRDefault="004E4FBB">
      <w:r>
        <w:t xml:space="preserve">El Proponente que demuestre la condición de Mipyme domiciliada en Colombia </w:t>
      </w:r>
      <w:r>
        <w:rPr>
          <w:highlight w:val="lightGray"/>
        </w:rPr>
        <w:t>(y/o Emprendimiento o Empresa de Mujeres)</w:t>
      </w:r>
      <w:r>
        <w:t xml:space="preserve"> acreditará la capacidad or</w:t>
      </w:r>
      <w:r>
        <w:t>ganizacional de acuerdo con los indicadores señalados en la Matriz 2 – Indicadores financieros y organizacionales. El Proponente probará la condición de Mipyme con la copia del certificado del Registro Único de Proponentes, el cual deberá encontrarse vigen</w:t>
      </w:r>
      <w:r>
        <w:t>te y en firme al momento de su presentación</w:t>
      </w:r>
      <w:r>
        <w:rPr>
          <w:highlight w:val="lightGray"/>
        </w:rPr>
        <w:t>.(y la condición de Emprendimiento o Empresa de Mujeres con el diligenciamiento del formato N° 13 – Acreditación de emprendimientos y empresas de mujeres y aportar la documentación requerida )</w:t>
      </w:r>
    </w:p>
    <w:p w:rsidR="00522688" w:rsidRDefault="00522688"/>
    <w:p w:rsidR="00522688" w:rsidRDefault="004E4FBB">
      <w:pPr>
        <w:pStyle w:val="Ttulo3"/>
        <w:numPr>
          <w:ilvl w:val="2"/>
          <w:numId w:val="15"/>
        </w:numPr>
      </w:pPr>
      <w:bookmarkStart w:id="48" w:name="_heading=h.nmf14n" w:colFirst="0" w:colLast="0"/>
      <w:bookmarkEnd w:id="48"/>
      <w:r>
        <w:t xml:space="preserve">ACREDITACIÓN DE LA </w:t>
      </w:r>
      <w:r>
        <w:t xml:space="preserve">CAPACIDAD FINANCIERA Y ORGANIZACIONAL </w:t>
      </w:r>
    </w:p>
    <w:p w:rsidR="00522688" w:rsidRDefault="00522688"/>
    <w:p w:rsidR="00522688" w:rsidRDefault="004E4FBB">
      <w:pPr>
        <w:pStyle w:val="Ttulo4"/>
        <w:numPr>
          <w:ilvl w:val="3"/>
          <w:numId w:val="15"/>
        </w:numPr>
      </w:pPr>
      <w:r>
        <w:t xml:space="preserve">PERSONAS NATURALES O JURÍDICAS NACIONALES Y EXTRANJERAS CON DOMICILIO O SUCURSAL EN COLOMBIA </w:t>
      </w:r>
    </w:p>
    <w:p w:rsidR="00522688" w:rsidRDefault="00522688"/>
    <w:p w:rsidR="00522688" w:rsidRDefault="004E4FBB">
      <w:r>
        <w:t>La evaluación financiera y organizacional de las propuestas se efectuará a partir de la información contenida en el RUP v</w:t>
      </w:r>
      <w:r>
        <w:t>igente y en firme. En tal sentido, la evaluación de la capacidad financiera se realizará de acuerdo con la información reportada en el RUP de acuerdo con las disposiciones establecidas en la Subsección 5 de la Sección 1 del Capítulo 1 del Título 1 de la Pa</w:t>
      </w:r>
      <w:r>
        <w:t xml:space="preserve">rte 2 del Decreto 1082 de 2015, o las normas que las modifiquen, adicionen o sustituyan, por lo que se tomará la información financiera del mejor año fiscal que se refleje en el registro del Proponente que esté vigente y en firme. </w:t>
      </w:r>
    </w:p>
    <w:p w:rsidR="00522688" w:rsidRDefault="00522688"/>
    <w:p w:rsidR="00522688" w:rsidRDefault="004E4FBB">
      <w:r>
        <w:t>Los Proponentes extranj</w:t>
      </w:r>
      <w:r>
        <w:t>eros sin domicilio o sucursal en Colombia no están obligados a tener RUP y por tanto la verificación de esta información procederá en los términos definidos en el siguiente numeral.</w:t>
      </w:r>
    </w:p>
    <w:p w:rsidR="00522688" w:rsidRDefault="00522688"/>
    <w:p w:rsidR="00522688" w:rsidRDefault="004E4FBB">
      <w:pPr>
        <w:pStyle w:val="Ttulo4"/>
        <w:numPr>
          <w:ilvl w:val="3"/>
          <w:numId w:val="15"/>
        </w:numPr>
      </w:pPr>
      <w:r>
        <w:t xml:space="preserve">PERSONAS NATURALES O JURÍDICAS EXTRANJERAS SIN DOMICILIO O SUCURSAL EN COLOMBIA </w:t>
      </w:r>
    </w:p>
    <w:p w:rsidR="00522688" w:rsidRDefault="00522688"/>
    <w:p w:rsidR="00522688" w:rsidRDefault="004E4FBB">
      <w:r>
        <w:t>Los Proponentes extranjeros sin domicilio o sucursal en Colombia deberán allegar la siguiente información financiera de conformidad con la legislación propia del país de orig</w:t>
      </w:r>
      <w:r>
        <w:t xml:space="preserve">en. Los valores deben: (i) presentarse en pesos colombianos; (ii) convertirse a la tasa de cambio de la fecha de corte de los mismos y (iii) estar avalados con la firma de quien se encuentre en obligación de hacerlo de acuerdo con la normativa del país de </w:t>
      </w:r>
      <w:r>
        <w:t xml:space="preserve">origen. </w:t>
      </w:r>
    </w:p>
    <w:p w:rsidR="00522688" w:rsidRDefault="00522688"/>
    <w:p w:rsidR="00522688" w:rsidRDefault="004E4FBB">
      <w:pPr>
        <w:numPr>
          <w:ilvl w:val="0"/>
          <w:numId w:val="47"/>
        </w:numPr>
        <w:pBdr>
          <w:top w:val="nil"/>
          <w:left w:val="nil"/>
          <w:bottom w:val="nil"/>
          <w:right w:val="nil"/>
          <w:between w:val="nil"/>
        </w:pBdr>
        <w:rPr>
          <w:color w:val="000000"/>
        </w:rPr>
      </w:pPr>
      <w:r>
        <w:rPr>
          <w:color w:val="000000"/>
        </w:rPr>
        <w:t>El estado de situación financiera (balance general) y estado de resultado integral (estado de resultados), acompañados por el informe de auditoría (sí aplica de acuerdo con la legislación de origen) con traducción simple al español de acuerdo con</w:t>
      </w:r>
      <w:r>
        <w:rPr>
          <w:color w:val="000000"/>
        </w:rPr>
        <w:t xml:space="preserve"> las normas NIIF.  </w:t>
      </w:r>
    </w:p>
    <w:p w:rsidR="00522688" w:rsidRDefault="004E4FBB">
      <w:pPr>
        <w:numPr>
          <w:ilvl w:val="0"/>
          <w:numId w:val="47"/>
        </w:numPr>
        <w:pBdr>
          <w:top w:val="nil"/>
          <w:left w:val="nil"/>
          <w:bottom w:val="nil"/>
          <w:right w:val="nil"/>
          <w:between w:val="nil"/>
        </w:pBdr>
        <w:rPr>
          <w:color w:val="000000"/>
        </w:rPr>
      </w:pPr>
      <w:r>
        <w:rPr>
          <w:color w:val="000000"/>
        </w:rPr>
        <w:t xml:space="preserve">Copia de la tarjeta profesional del contador público o revisor fiscal y certificado de antecedentes disciplinarios vigente expedido por la Junta Central de Contadores de quien realiza la conversión. </w:t>
      </w:r>
    </w:p>
    <w:p w:rsidR="00522688" w:rsidRDefault="004E4FBB">
      <w:pPr>
        <w:numPr>
          <w:ilvl w:val="0"/>
          <w:numId w:val="47"/>
        </w:numPr>
        <w:pBdr>
          <w:top w:val="nil"/>
          <w:left w:val="nil"/>
          <w:bottom w:val="nil"/>
          <w:right w:val="nil"/>
          <w:between w:val="nil"/>
        </w:pBdr>
        <w:rPr>
          <w:color w:val="000000"/>
        </w:rPr>
      </w:pPr>
      <w:r>
        <w:rPr>
          <w:color w:val="000000"/>
        </w:rPr>
        <w:t>El “Formato 4 – Capacidad financiera y organizacional” para extranjeros diligenciado. En caso de presentarse discrepancias entre la información consignada en el “Formato 4 – Capacidad financiera y organizacional” para extranjeros y los documentos señalados</w:t>
      </w:r>
      <w:r>
        <w:rPr>
          <w:color w:val="000000"/>
        </w:rPr>
        <w:t xml:space="preserve"> en el Literal A, prevalecerá la información consignada en los estados financieros incluidos en la oferta. </w:t>
      </w:r>
    </w:p>
    <w:p w:rsidR="00522688" w:rsidRDefault="00522688"/>
    <w:p w:rsidR="00522688" w:rsidRDefault="004E4FBB">
      <w:r>
        <w:t>Las fechas de corte de los documentos señalados en el literal A será a 31 de diciembre del mejor año fiscal de los últimos tres (3) años del propon</w:t>
      </w:r>
      <w:r>
        <w:t xml:space="preserve">ente, acompañado del Informe de Auditoría, salvo que se </w:t>
      </w:r>
      <w:r>
        <w:lastRenderedPageBreak/>
        <w:t>acredite en debida forma que la legislación propia del país de origen establece una fecha de corte diferente a la prevista en este pliego.</w:t>
      </w:r>
    </w:p>
    <w:p w:rsidR="00522688" w:rsidRDefault="00522688">
      <w:bookmarkStart w:id="49" w:name="_heading=h.37m2jsg" w:colFirst="0" w:colLast="0"/>
      <w:bookmarkEnd w:id="49"/>
    </w:p>
    <w:p w:rsidR="00522688" w:rsidRDefault="004E4FBB">
      <w:r>
        <w:t>Si alguno de estos requerimientos no aplica en el país del d</w:t>
      </w:r>
      <w:r>
        <w:t>omicilio del proponente extranjero, el representante legal o el apoderado en Colombia deberán hacerlo constar bajo la gravedad de juramento en el “Formato 4 – Capacidad financiera y organizacional” para extranjeros. El proponente podrá acreditar este requi</w:t>
      </w:r>
      <w:r>
        <w:t>sito con un documento que así lo certifique emitido por una firma de auditoría externa.</w:t>
      </w:r>
    </w:p>
    <w:p w:rsidR="00522688" w:rsidRDefault="00522688"/>
    <w:p w:rsidR="00522688" w:rsidRDefault="004E4FBB">
      <w:r>
        <w:t xml:space="preserve">Si los valores de los estados financieros están expresados originalmente en una moneda diferente a dólares de los Estados Unidos de América, estos deberán convertirse </w:t>
      </w:r>
      <w:r>
        <w:t>a Pesos en los términos definidos en la sección 1.13.</w:t>
      </w:r>
    </w:p>
    <w:p w:rsidR="00522688" w:rsidRDefault="00522688"/>
    <w:p w:rsidR="00522688" w:rsidRDefault="004E4FBB">
      <w:pPr>
        <w:pStyle w:val="Ttulo2"/>
        <w:numPr>
          <w:ilvl w:val="1"/>
          <w:numId w:val="15"/>
        </w:numPr>
        <w:ind w:left="709" w:hanging="709"/>
      </w:pPr>
      <w:bookmarkStart w:id="50" w:name="_heading=h.1mrcu09" w:colFirst="0" w:colLast="0"/>
      <w:bookmarkEnd w:id="50"/>
      <w:r>
        <w:t>EXIGENCIAS MÍNIMAS DE LA EXPERIENCIA DEL PROPONENTE Y LA EXPERIENCIA Y FORMACIÓN ACADÉMICA DEL EQUIPO DE TRABAJO (Personal Clave Evaluable)</w:t>
      </w:r>
    </w:p>
    <w:p w:rsidR="00522688" w:rsidRDefault="00522688"/>
    <w:p w:rsidR="00522688" w:rsidRDefault="004E4FBB">
      <w:pPr>
        <w:pStyle w:val="Ttulo3"/>
        <w:numPr>
          <w:ilvl w:val="2"/>
          <w:numId w:val="15"/>
        </w:numPr>
      </w:pPr>
      <w:bookmarkStart w:id="51" w:name="_heading=h.46r0co2" w:colFirst="0" w:colLast="0"/>
      <w:bookmarkEnd w:id="51"/>
      <w:r>
        <w:t>EXIGENCIA MÍNIMA DE LA EXPERIENCIA DEL PROPONENTE</w:t>
      </w:r>
    </w:p>
    <w:p w:rsidR="00522688" w:rsidRDefault="00522688"/>
    <w:p w:rsidR="00522688" w:rsidRDefault="004E4FBB">
      <w:r>
        <w:t>Para habi</w:t>
      </w:r>
      <w:r>
        <w:t>litarse en el Proceso de Contratación, el Proponente acreditará que la sumatoria de los contratos aportados como experiencia es mayor o igual al cien por ciento (100 %) respecto del valor total del Presupuesto Oficial establecido para el Proceso de Contrat</w:t>
      </w:r>
      <w:r>
        <w:t>ación expresado en SMMLV. Estos contratos serán verificados en el RUP y en el Formato 3 – Experiencia, para los Proponentes que no están obligados a estar inscritos en el RUP, cumpliendo con los requisitos de experiencia previstos en el numeral “10.1 acred</w:t>
      </w:r>
      <w:r>
        <w:t xml:space="preserve">itación de la experiencia del proponente”. </w:t>
      </w:r>
    </w:p>
    <w:p w:rsidR="00522688" w:rsidRDefault="00522688"/>
    <w:p w:rsidR="00522688" w:rsidRDefault="004E4FBB">
      <w:r>
        <w:t>En caso de que con los contratos aportados no se acrediten los requisitos exigidos, la Entidad solicitará al Proponente que subsane su oferta en los términos del numeral 1.6. Si el Proponente subsana el requisit</w:t>
      </w:r>
      <w:r>
        <w:t xml:space="preserve">o mínimo de experiencia se habilitará en el Proceso de Contratación, pero no se tendrán en cuenta estos contratos para la asignación del puntaje. En otras palabras, el otorgamiento de puntaje se realizará con los contratos válidos allegados en su oferta y </w:t>
      </w:r>
      <w:r>
        <w:t>que no fueron objeto de subsanación por parte del Proponente.</w:t>
      </w:r>
    </w:p>
    <w:p w:rsidR="00522688" w:rsidRDefault="00522688"/>
    <w:p w:rsidR="00522688" w:rsidRDefault="004E4FBB">
      <w:r>
        <w:rPr>
          <w:highlight w:val="lightGray"/>
        </w:rPr>
        <w:t>[En los Procesos de Contratación estructurados por lotes o por grupos incluir el siguiente texto:]</w:t>
      </w:r>
      <w:r>
        <w:t xml:space="preserve"> En los procesos estructurados por lotes o por grupos, el Proponente para habilitarse en el Pro</w:t>
      </w:r>
      <w:r>
        <w:t xml:space="preserve">ceso de Contratación acreditará que la experiencia es mayor o igual al cien por ciento (100 %) respecto del valor total del Presupuesto Oficial expresado en SMMLV del lote o grupo al cual se presenta la oferta. </w:t>
      </w:r>
    </w:p>
    <w:p w:rsidR="00522688" w:rsidRDefault="00522688"/>
    <w:p w:rsidR="00522688" w:rsidRDefault="004E4FBB">
      <w:r>
        <w:t>Asimismo, el Proponente demostrará para cad</w:t>
      </w:r>
      <w:r>
        <w:t xml:space="preserve">a lote o grupo la experiencia solicitada de la “Matriz 1 – Experiencia”. En consecuencia, si el Proponente se presenta a varios lotes o grupos, la experiencia mínima se evaluará de manera independiente para cada uno de ellos. </w:t>
      </w:r>
    </w:p>
    <w:p w:rsidR="00522688" w:rsidRDefault="00522688"/>
    <w:p w:rsidR="00522688" w:rsidRDefault="004E4FBB">
      <w:r>
        <w:t xml:space="preserve">En todo caso, un Proponente </w:t>
      </w:r>
      <w:r>
        <w:t xml:space="preserve">podrá probar la experiencia solicitada en uno o más lotes o grupos con un mismo contrato o mediante contratos distintos. </w:t>
      </w:r>
    </w:p>
    <w:p w:rsidR="00522688" w:rsidRDefault="00522688"/>
    <w:p w:rsidR="00522688" w:rsidRDefault="004E4FBB">
      <w:pPr>
        <w:pStyle w:val="Ttulo3"/>
        <w:numPr>
          <w:ilvl w:val="2"/>
          <w:numId w:val="15"/>
        </w:numPr>
      </w:pPr>
      <w:bookmarkStart w:id="52" w:name="_heading=h.2lwamvv" w:colFirst="0" w:colLast="0"/>
      <w:bookmarkEnd w:id="52"/>
      <w:r>
        <w:t>EXIGENCIAS MÍNIMAS DE EXPERIENCIA Y FORMACIÓN ACADÉMICA DEL EQUIPO DE TRABAJO (Personal Clave Evaluable)</w:t>
      </w:r>
    </w:p>
    <w:p w:rsidR="00522688" w:rsidRDefault="00522688"/>
    <w:p w:rsidR="00522688" w:rsidRDefault="004E4FBB">
      <w:pPr>
        <w:rPr>
          <w:highlight w:val="lightGray"/>
        </w:rPr>
      </w:pPr>
      <w:r>
        <w:rPr>
          <w:highlight w:val="lightGray"/>
        </w:rPr>
        <w:t>[La Entidad deberá definir los perfiles profesionales del equipo de trabajo del consultor de acuerdo con la “Matriz 4 – Lineamientos de requisitos del personal”, para fijar las condiciones de experiencia y formación académica del equipo de trabajo. Así mis</w:t>
      </w:r>
      <w:r>
        <w:rPr>
          <w:highlight w:val="lightGray"/>
        </w:rPr>
        <w:t xml:space="preserve">mo, no podrá, bajo ningún supuesto incluir títulos de posgrado particulares (especializaciones, maestrías, doctorados o posdoctorados, p.ej.: “maestría en project management”, sino establecerlo como “posgrado en: gerencia de proyectos, gerencia de </w:t>
      </w:r>
      <w:r>
        <w:rPr>
          <w:highlight w:val="lightGray"/>
        </w:rPr>
        <w:lastRenderedPageBreak/>
        <w:t>obras, e</w:t>
      </w:r>
      <w:r>
        <w:rPr>
          <w:highlight w:val="lightGray"/>
        </w:rPr>
        <w:t xml:space="preserve">ntre otros”), ya que la formación académica obedece a un título de posgrado independiente de su nivel académico, en un área de conocimiento acorde al cargo a desempeñar. </w:t>
      </w:r>
    </w:p>
    <w:p w:rsidR="00522688" w:rsidRDefault="00522688">
      <w:pPr>
        <w:rPr>
          <w:highlight w:val="lightGray"/>
        </w:rPr>
      </w:pPr>
    </w:p>
    <w:p w:rsidR="00522688" w:rsidRDefault="004E4FBB">
      <w:r>
        <w:rPr>
          <w:highlight w:val="lightGray"/>
        </w:rPr>
        <w:t>Asimismo, los perfiles del equipo de trabajo establecidos por la Entidad a través de</w:t>
      </w:r>
      <w:r>
        <w:rPr>
          <w:highlight w:val="lightGray"/>
        </w:rPr>
        <w:t xml:space="preserve"> la “Matriz 4 – Lineamientos de requisitos del personal” y el “Anexo 1 – Anexo Técnico” serán susceptibles de observaciones por parte de los interesados en el Proceso de Contratación si así lo consideran].</w:t>
      </w:r>
    </w:p>
    <w:p w:rsidR="00522688" w:rsidRDefault="00522688"/>
    <w:p w:rsidR="00522688" w:rsidRDefault="004E4FBB">
      <w:r>
        <w:t>Durante el desarrollo del Proceso de Contratación</w:t>
      </w:r>
      <w:r>
        <w:t xml:space="preserve"> NO se evaluarán los soportes de los perfiles requeridos, por lo que no se solicitarán como parte de los documentos que conforman la propuesta. En tal sentido, para habilitarse en el Proceso de Contratación, el Proponente deberá cumplir las siguientes regl</w:t>
      </w:r>
      <w:r>
        <w:t>as:</w:t>
      </w:r>
    </w:p>
    <w:p w:rsidR="00522688" w:rsidRDefault="00522688"/>
    <w:p w:rsidR="00522688" w:rsidRDefault="004E4FBB">
      <w:pPr>
        <w:numPr>
          <w:ilvl w:val="0"/>
          <w:numId w:val="17"/>
        </w:numPr>
        <w:pBdr>
          <w:top w:val="nil"/>
          <w:left w:val="nil"/>
          <w:bottom w:val="nil"/>
          <w:right w:val="nil"/>
          <w:between w:val="nil"/>
        </w:pBdr>
        <w:ind w:left="709" w:hanging="349"/>
        <w:rPr>
          <w:color w:val="000000"/>
        </w:rPr>
      </w:pPr>
      <w:r>
        <w:rPr>
          <w:color w:val="000000"/>
        </w:rPr>
        <w:t xml:space="preserve">El Proponente deberá aportar y diligenciar en forma clara, completa, correcta y legible el </w:t>
      </w:r>
      <w:r>
        <w:rPr>
          <w:b/>
          <w:color w:val="000000"/>
        </w:rPr>
        <w:t>“Formato 8 – Aceptación y cumplimiento de la formación y experiencia del personal clave”</w:t>
      </w:r>
      <w:r>
        <w:rPr>
          <w:color w:val="000000"/>
        </w:rPr>
        <w:t>, de acuerdo con los requisitos y condiciones que allí se indican y demá</w:t>
      </w:r>
      <w:r>
        <w:rPr>
          <w:color w:val="000000"/>
        </w:rPr>
        <w:t xml:space="preserve">s señaladas en el Pliego de Condiciones y sus documentos anexos. </w:t>
      </w:r>
    </w:p>
    <w:p w:rsidR="00522688" w:rsidRDefault="00522688"/>
    <w:p w:rsidR="00522688" w:rsidRDefault="004E4FBB">
      <w:pPr>
        <w:numPr>
          <w:ilvl w:val="0"/>
          <w:numId w:val="17"/>
        </w:numPr>
        <w:pBdr>
          <w:top w:val="nil"/>
          <w:left w:val="nil"/>
          <w:bottom w:val="nil"/>
          <w:right w:val="nil"/>
          <w:between w:val="nil"/>
        </w:pBdr>
        <w:ind w:left="709" w:hanging="349"/>
        <w:rPr>
          <w:color w:val="000000"/>
        </w:rPr>
      </w:pPr>
      <w:r>
        <w:rPr>
          <w:color w:val="000000"/>
        </w:rPr>
        <w:t xml:space="preserve">El </w:t>
      </w:r>
      <w:r>
        <w:rPr>
          <w:b/>
          <w:color w:val="000000"/>
        </w:rPr>
        <w:t>“Formato 8 – Aceptación y cumplimiento de la formación y experiencia del personal clave”</w:t>
      </w:r>
      <w:r>
        <w:rPr>
          <w:color w:val="000000"/>
        </w:rPr>
        <w:t xml:space="preserve"> debe suscribirlo el Proponente persona natural o representante legal de la persona jurídica.</w:t>
      </w:r>
    </w:p>
    <w:p w:rsidR="00522688" w:rsidRDefault="00522688"/>
    <w:p w:rsidR="00522688" w:rsidRDefault="004E4FBB">
      <w:r>
        <w:t>Par</w:t>
      </w:r>
      <w:r>
        <w:t xml:space="preserve">a los fines de este numeral se entiende por Personal Clave Evaluable los siguientes perfiles: </w:t>
      </w:r>
      <w:r>
        <w:rPr>
          <w:highlight w:val="lightGray"/>
        </w:rPr>
        <w:t>[La Entidad deberá indicar cuáles de los siguientes perfiles hacen parte del Personal Clave Evaluable: director de consultoría, coordinador de consultoría (en los</w:t>
      </w:r>
      <w:r>
        <w:rPr>
          <w:highlight w:val="lightGray"/>
        </w:rPr>
        <w:t xml:space="preserve"> casos que aplique este perfil), y/o especialista principal del proyecto. Indicando exclusivamente el perfil como fue relacionado, sin establecer información adicional que no se encuentre en la “Matriz 4 – Lineamientos de requisitos del personal” y “Anexo </w:t>
      </w:r>
      <w:r>
        <w:rPr>
          <w:highlight w:val="lightGray"/>
        </w:rPr>
        <w:t>1 – Anexo Técnico”. El Personal Clave Evaluable en los tres (3) perfiles mencionados puede estar conformado por uno o varios profesionales, de manera que la Entidad Estatal indicará el número de personas requeridas en cada cargo].</w:t>
      </w:r>
    </w:p>
    <w:p w:rsidR="00522688" w:rsidRDefault="00522688"/>
    <w:p w:rsidR="00522688" w:rsidRDefault="004E4FBB">
      <w:r>
        <w:t>Las condiciones de forma</w:t>
      </w:r>
      <w:r>
        <w:t xml:space="preserve">ción y experiencia de los perfiles del personal integrante del equipo de trabajo denominado Personal Clave Evaluable se encuentran en el </w:t>
      </w:r>
      <w:r>
        <w:rPr>
          <w:highlight w:val="yellow"/>
        </w:rPr>
        <w:t>“Anexo 1 – Anexo Técnico / Anexo de requerimientos del personal y equipo mínimo del proyecto” (indicar el cual anexo se</w:t>
      </w:r>
      <w:r>
        <w:rPr>
          <w:highlight w:val="yellow"/>
        </w:rPr>
        <w:t xml:space="preserve"> encuentra el personal clave)</w:t>
      </w:r>
      <w:r>
        <w:t xml:space="preserve"> del Proceso de Contratación, las cuales serán verificadas </w:t>
      </w:r>
      <w:r>
        <w:rPr>
          <w:highlight w:val="lightGray"/>
        </w:rPr>
        <w:t>[la Entidad definirá si la verificación del Personal Clave Evaluable será un requisito para la ejecución del contrato o para otro momento que la Entidad disponga con po</w:t>
      </w:r>
      <w:r>
        <w:rPr>
          <w:highlight w:val="lightGray"/>
        </w:rPr>
        <w:t>sterioridad a la celebración del Contrato, lo cual deberá mencionar claramente]</w:t>
      </w:r>
      <w:r>
        <w:t>, de acuerdo con las reglas establecidas en el Pliego de Condiciones, particularmente en el numeral “10.2 acreditación de experiencia y formación académica del equipo de trabajo</w:t>
      </w:r>
      <w:r>
        <w:t xml:space="preserve"> y del personal clave evaluable”.</w:t>
      </w:r>
    </w:p>
    <w:p w:rsidR="00522688" w:rsidRDefault="00522688"/>
    <w:p w:rsidR="00522688" w:rsidRDefault="004E4FBB">
      <w:r>
        <w:rPr>
          <w:b/>
        </w:rPr>
        <w:t>Nota 1:</w:t>
      </w:r>
      <w:r>
        <w:t xml:space="preserve"> El Proponente en la etapa de selección no deberá allegar con su propuesta documentos soporte, hojas de vida ni certificaciones de los profesionales y del equipo de trabajo que considerará para el futuro Contrato, ya que serán verificados </w:t>
      </w:r>
      <w:r>
        <w:rPr>
          <w:highlight w:val="lightGray"/>
        </w:rPr>
        <w:t>[la Entidad defin</w:t>
      </w:r>
      <w:r>
        <w:rPr>
          <w:highlight w:val="lightGray"/>
        </w:rPr>
        <w:t>irá si la verificación del equipo de trabajo será un requisito para la ejecución del Contrato o para otro momento que la Entidad disponga posterior a la celebración del Contrato, lo cual deberá mencionar claramente].</w:t>
      </w:r>
    </w:p>
    <w:p w:rsidR="00522688" w:rsidRDefault="00522688"/>
    <w:p w:rsidR="00522688" w:rsidRDefault="004E4FBB">
      <w:r>
        <w:rPr>
          <w:b/>
        </w:rPr>
        <w:t>Nota 2:</w:t>
      </w:r>
      <w:r>
        <w:t xml:space="preserve"> Los documentos aportados en el</w:t>
      </w:r>
      <w:r>
        <w:t xml:space="preserve"> presente acápite podrán tenerse en cuenta para demostrar el cumplimiento de los criterios de evaluación y asignación de puntaje, sin perjuicio de las reglas de subsanación dispuestas en el numeral 1.6.</w:t>
      </w:r>
    </w:p>
    <w:p w:rsidR="00522688" w:rsidRDefault="00522688"/>
    <w:p w:rsidR="00522688" w:rsidRDefault="00522688"/>
    <w:p w:rsidR="00522688" w:rsidRDefault="00522688"/>
    <w:p w:rsidR="00522688" w:rsidRDefault="004E4FBB">
      <w:pPr>
        <w:spacing w:after="160" w:line="259" w:lineRule="auto"/>
        <w:jc w:val="left"/>
        <w:rPr>
          <w:b/>
          <w:sz w:val="22"/>
          <w:szCs w:val="22"/>
        </w:rPr>
      </w:pPr>
      <w:r>
        <w:lastRenderedPageBreak/>
        <w:br w:type="page"/>
      </w:r>
    </w:p>
    <w:p w:rsidR="00522688" w:rsidRDefault="004E4FBB">
      <w:pPr>
        <w:pStyle w:val="Ttulo1"/>
        <w:numPr>
          <w:ilvl w:val="0"/>
          <w:numId w:val="14"/>
        </w:numPr>
        <w:ind w:left="1531" w:firstLine="0"/>
      </w:pPr>
      <w:bookmarkStart w:id="53" w:name="_heading=h.111kx3o" w:colFirst="0" w:colLast="0"/>
      <w:bookmarkEnd w:id="53"/>
      <w:r>
        <w:lastRenderedPageBreak/>
        <w:t>CRITERIOS DE EVALUACIÓN, ASIGNACIÓN DE PUNTAJE Y CRITERIOS DE DESEMPATE</w:t>
      </w:r>
    </w:p>
    <w:p w:rsidR="00522688" w:rsidRDefault="00522688">
      <w:pPr>
        <w:numPr>
          <w:ilvl w:val="0"/>
          <w:numId w:val="15"/>
        </w:numPr>
        <w:pBdr>
          <w:top w:val="nil"/>
          <w:left w:val="nil"/>
          <w:bottom w:val="nil"/>
          <w:right w:val="nil"/>
          <w:between w:val="nil"/>
        </w:pBdr>
        <w:rPr>
          <w:color w:val="000000"/>
        </w:rPr>
      </w:pPr>
    </w:p>
    <w:p w:rsidR="00522688" w:rsidRDefault="004E4FBB">
      <w:r>
        <w:t>La Entidad calificará las ofertas que hayan cumplido los requisitos habilitantes con los siguientes criterios de evaluación y puntajes:</w:t>
      </w:r>
    </w:p>
    <w:p w:rsidR="00522688" w:rsidRDefault="00522688"/>
    <w:tbl>
      <w:tblPr>
        <w:tblStyle w:val="a7"/>
        <w:tblW w:w="594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701"/>
      </w:tblGrid>
      <w:tr w:rsidR="00522688">
        <w:trPr>
          <w:trHeight w:val="283"/>
          <w:jc w:val="center"/>
        </w:trPr>
        <w:tc>
          <w:tcPr>
            <w:tcW w:w="4248" w:type="dxa"/>
            <w:shd w:val="clear" w:color="auto" w:fill="3B3838"/>
            <w:vAlign w:val="center"/>
          </w:tcPr>
          <w:p w:rsidR="00522688" w:rsidRDefault="004E4FBB">
            <w:pPr>
              <w:jc w:val="center"/>
              <w:rPr>
                <w:b/>
                <w:sz w:val="18"/>
                <w:szCs w:val="18"/>
              </w:rPr>
            </w:pPr>
            <w:r>
              <w:rPr>
                <w:b/>
                <w:sz w:val="18"/>
                <w:szCs w:val="18"/>
              </w:rPr>
              <w:t>Concepto</w:t>
            </w:r>
          </w:p>
        </w:tc>
        <w:tc>
          <w:tcPr>
            <w:tcW w:w="1701" w:type="dxa"/>
            <w:shd w:val="clear" w:color="auto" w:fill="3B3838"/>
            <w:vAlign w:val="center"/>
          </w:tcPr>
          <w:p w:rsidR="00522688" w:rsidRDefault="004E4FBB">
            <w:pPr>
              <w:jc w:val="center"/>
              <w:rPr>
                <w:b/>
                <w:sz w:val="18"/>
                <w:szCs w:val="18"/>
              </w:rPr>
            </w:pPr>
            <w:r>
              <w:rPr>
                <w:b/>
                <w:sz w:val="18"/>
                <w:szCs w:val="18"/>
              </w:rPr>
              <w:t>Puntaje máximo</w:t>
            </w:r>
          </w:p>
        </w:tc>
      </w:tr>
      <w:tr w:rsidR="00522688">
        <w:trPr>
          <w:trHeight w:val="283"/>
          <w:jc w:val="center"/>
        </w:trPr>
        <w:tc>
          <w:tcPr>
            <w:tcW w:w="4248" w:type="dxa"/>
            <w:vAlign w:val="center"/>
          </w:tcPr>
          <w:p w:rsidR="00522688" w:rsidRDefault="004E4FBB">
            <w:pPr>
              <w:jc w:val="center"/>
              <w:rPr>
                <w:sz w:val="18"/>
                <w:szCs w:val="18"/>
              </w:rPr>
            </w:pPr>
            <w:r>
              <w:rPr>
                <w:sz w:val="18"/>
                <w:szCs w:val="18"/>
              </w:rPr>
              <w:t>Experiencia del Propo</w:t>
            </w:r>
            <w:r>
              <w:rPr>
                <w:sz w:val="18"/>
                <w:szCs w:val="18"/>
              </w:rPr>
              <w:t>nente</w:t>
            </w:r>
          </w:p>
        </w:tc>
        <w:tc>
          <w:tcPr>
            <w:tcW w:w="1701" w:type="dxa"/>
            <w:vAlign w:val="center"/>
          </w:tcPr>
          <w:p w:rsidR="00522688" w:rsidRDefault="004E4FBB">
            <w:pPr>
              <w:jc w:val="center"/>
              <w:rPr>
                <w:sz w:val="18"/>
                <w:szCs w:val="18"/>
              </w:rPr>
            </w:pPr>
            <w:r>
              <w:rPr>
                <w:sz w:val="18"/>
                <w:szCs w:val="18"/>
              </w:rPr>
              <w:t>67,5</w:t>
            </w:r>
          </w:p>
        </w:tc>
      </w:tr>
      <w:tr w:rsidR="00522688">
        <w:trPr>
          <w:trHeight w:val="283"/>
          <w:jc w:val="center"/>
        </w:trPr>
        <w:tc>
          <w:tcPr>
            <w:tcW w:w="4248" w:type="dxa"/>
            <w:vAlign w:val="center"/>
          </w:tcPr>
          <w:p w:rsidR="00522688" w:rsidRDefault="004E4FBB">
            <w:pPr>
              <w:jc w:val="center"/>
              <w:rPr>
                <w:sz w:val="18"/>
                <w:szCs w:val="18"/>
              </w:rPr>
            </w:pPr>
            <w:r>
              <w:rPr>
                <w:sz w:val="18"/>
                <w:szCs w:val="18"/>
              </w:rPr>
              <w:t>Equipo de trabajo (Personal Clave Evaluable)</w:t>
            </w:r>
          </w:p>
        </w:tc>
        <w:tc>
          <w:tcPr>
            <w:tcW w:w="1701" w:type="dxa"/>
            <w:vAlign w:val="center"/>
          </w:tcPr>
          <w:p w:rsidR="00522688" w:rsidRDefault="004E4FBB">
            <w:pPr>
              <w:jc w:val="center"/>
              <w:rPr>
                <w:sz w:val="18"/>
                <w:szCs w:val="18"/>
              </w:rPr>
            </w:pPr>
            <w:r>
              <w:rPr>
                <w:sz w:val="18"/>
                <w:szCs w:val="18"/>
              </w:rPr>
              <w:t>10</w:t>
            </w:r>
          </w:p>
        </w:tc>
      </w:tr>
      <w:tr w:rsidR="00522688">
        <w:trPr>
          <w:trHeight w:val="283"/>
          <w:jc w:val="center"/>
        </w:trPr>
        <w:tc>
          <w:tcPr>
            <w:tcW w:w="4248" w:type="dxa"/>
            <w:vAlign w:val="center"/>
          </w:tcPr>
          <w:p w:rsidR="00522688" w:rsidRDefault="004E4FBB">
            <w:pPr>
              <w:jc w:val="center"/>
              <w:rPr>
                <w:sz w:val="18"/>
                <w:szCs w:val="18"/>
              </w:rPr>
            </w:pPr>
            <w:r>
              <w:rPr>
                <w:sz w:val="18"/>
                <w:szCs w:val="18"/>
              </w:rPr>
              <w:t>Factor de sostenibilidad</w:t>
            </w:r>
          </w:p>
        </w:tc>
        <w:tc>
          <w:tcPr>
            <w:tcW w:w="1701" w:type="dxa"/>
            <w:vAlign w:val="center"/>
          </w:tcPr>
          <w:p w:rsidR="00522688" w:rsidRDefault="004E4FBB">
            <w:pPr>
              <w:jc w:val="center"/>
              <w:rPr>
                <w:sz w:val="18"/>
                <w:szCs w:val="18"/>
              </w:rPr>
            </w:pPr>
            <w:r>
              <w:rPr>
                <w:sz w:val="18"/>
                <w:szCs w:val="18"/>
              </w:rPr>
              <w:t>1</w:t>
            </w:r>
          </w:p>
        </w:tc>
      </w:tr>
      <w:tr w:rsidR="00522688">
        <w:trPr>
          <w:trHeight w:val="283"/>
          <w:jc w:val="center"/>
        </w:trPr>
        <w:tc>
          <w:tcPr>
            <w:tcW w:w="4248" w:type="dxa"/>
            <w:vAlign w:val="center"/>
          </w:tcPr>
          <w:p w:rsidR="00522688" w:rsidRDefault="004E4FBB">
            <w:pPr>
              <w:jc w:val="center"/>
              <w:rPr>
                <w:sz w:val="18"/>
                <w:szCs w:val="18"/>
              </w:rPr>
            </w:pPr>
            <w:r>
              <w:rPr>
                <w:sz w:val="18"/>
                <w:szCs w:val="18"/>
              </w:rPr>
              <w:t>Apoyo a la industria nacional</w:t>
            </w:r>
          </w:p>
        </w:tc>
        <w:tc>
          <w:tcPr>
            <w:tcW w:w="1701" w:type="dxa"/>
            <w:vAlign w:val="center"/>
          </w:tcPr>
          <w:p w:rsidR="00522688" w:rsidRDefault="004E4FBB">
            <w:pPr>
              <w:jc w:val="center"/>
              <w:rPr>
                <w:sz w:val="18"/>
                <w:szCs w:val="18"/>
              </w:rPr>
            </w:pPr>
            <w:r>
              <w:rPr>
                <w:sz w:val="18"/>
                <w:szCs w:val="18"/>
              </w:rPr>
              <w:t>20</w:t>
            </w:r>
          </w:p>
        </w:tc>
      </w:tr>
      <w:tr w:rsidR="00522688">
        <w:trPr>
          <w:trHeight w:val="283"/>
          <w:jc w:val="center"/>
        </w:trPr>
        <w:tc>
          <w:tcPr>
            <w:tcW w:w="4248" w:type="dxa"/>
            <w:vAlign w:val="center"/>
          </w:tcPr>
          <w:p w:rsidR="00522688" w:rsidRDefault="004E4FBB">
            <w:pPr>
              <w:jc w:val="center"/>
              <w:rPr>
                <w:sz w:val="18"/>
                <w:szCs w:val="18"/>
              </w:rPr>
            </w:pPr>
            <w:r>
              <w:rPr>
                <w:sz w:val="18"/>
                <w:szCs w:val="18"/>
              </w:rPr>
              <w:t>Vinculación de personas con discapacidad</w:t>
            </w:r>
          </w:p>
        </w:tc>
        <w:tc>
          <w:tcPr>
            <w:tcW w:w="1701" w:type="dxa"/>
            <w:vAlign w:val="center"/>
          </w:tcPr>
          <w:p w:rsidR="00522688" w:rsidRDefault="004E4FBB">
            <w:pPr>
              <w:jc w:val="center"/>
              <w:rPr>
                <w:sz w:val="18"/>
                <w:szCs w:val="18"/>
              </w:rPr>
            </w:pPr>
            <w:r>
              <w:rPr>
                <w:sz w:val="18"/>
                <w:szCs w:val="18"/>
              </w:rPr>
              <w:t>1</w:t>
            </w:r>
          </w:p>
        </w:tc>
      </w:tr>
      <w:tr w:rsidR="00522688">
        <w:trPr>
          <w:trHeight w:val="283"/>
          <w:jc w:val="center"/>
        </w:trPr>
        <w:tc>
          <w:tcPr>
            <w:tcW w:w="4248" w:type="dxa"/>
            <w:vAlign w:val="center"/>
          </w:tcPr>
          <w:p w:rsidR="00522688" w:rsidRDefault="004E4FBB">
            <w:pPr>
              <w:jc w:val="center"/>
              <w:rPr>
                <w:sz w:val="18"/>
                <w:szCs w:val="18"/>
              </w:rPr>
            </w:pPr>
            <w:r>
              <w:rPr>
                <w:sz w:val="18"/>
                <w:szCs w:val="18"/>
              </w:rPr>
              <w:t>Emprendimientos y empresas de mujeres</w:t>
            </w:r>
          </w:p>
        </w:tc>
        <w:tc>
          <w:tcPr>
            <w:tcW w:w="1701" w:type="dxa"/>
            <w:vAlign w:val="center"/>
          </w:tcPr>
          <w:p w:rsidR="00522688" w:rsidRDefault="004E4FBB">
            <w:pPr>
              <w:jc w:val="center"/>
              <w:rPr>
                <w:sz w:val="18"/>
                <w:szCs w:val="18"/>
              </w:rPr>
            </w:pPr>
            <w:r>
              <w:rPr>
                <w:sz w:val="18"/>
                <w:szCs w:val="18"/>
              </w:rPr>
              <w:t>0,25</w:t>
            </w:r>
          </w:p>
        </w:tc>
      </w:tr>
      <w:tr w:rsidR="00522688">
        <w:trPr>
          <w:trHeight w:val="283"/>
          <w:jc w:val="center"/>
        </w:trPr>
        <w:tc>
          <w:tcPr>
            <w:tcW w:w="4248" w:type="dxa"/>
            <w:vAlign w:val="center"/>
          </w:tcPr>
          <w:p w:rsidR="00522688" w:rsidRDefault="004E4FBB">
            <w:pPr>
              <w:jc w:val="center"/>
              <w:rPr>
                <w:sz w:val="18"/>
                <w:szCs w:val="18"/>
              </w:rPr>
            </w:pPr>
            <w:r>
              <w:rPr>
                <w:sz w:val="18"/>
                <w:szCs w:val="18"/>
              </w:rPr>
              <w:t>Mipyme</w:t>
            </w:r>
          </w:p>
        </w:tc>
        <w:tc>
          <w:tcPr>
            <w:tcW w:w="1701" w:type="dxa"/>
            <w:vAlign w:val="center"/>
          </w:tcPr>
          <w:p w:rsidR="00522688" w:rsidRDefault="004E4FBB">
            <w:pPr>
              <w:jc w:val="center"/>
              <w:rPr>
                <w:sz w:val="18"/>
                <w:szCs w:val="18"/>
              </w:rPr>
            </w:pPr>
            <w:r>
              <w:rPr>
                <w:sz w:val="18"/>
                <w:szCs w:val="18"/>
              </w:rPr>
              <w:t>0,25</w:t>
            </w:r>
          </w:p>
        </w:tc>
      </w:tr>
      <w:tr w:rsidR="00522688">
        <w:trPr>
          <w:trHeight w:val="283"/>
          <w:jc w:val="center"/>
        </w:trPr>
        <w:tc>
          <w:tcPr>
            <w:tcW w:w="4248" w:type="dxa"/>
            <w:vAlign w:val="center"/>
          </w:tcPr>
          <w:p w:rsidR="00522688" w:rsidRDefault="004E4FBB">
            <w:pPr>
              <w:jc w:val="center"/>
              <w:rPr>
                <w:sz w:val="18"/>
                <w:szCs w:val="18"/>
              </w:rPr>
            </w:pPr>
            <w:r>
              <w:rPr>
                <w:sz w:val="18"/>
                <w:szCs w:val="18"/>
              </w:rPr>
              <w:t>Total</w:t>
            </w:r>
          </w:p>
        </w:tc>
        <w:tc>
          <w:tcPr>
            <w:tcW w:w="1701" w:type="dxa"/>
            <w:vAlign w:val="center"/>
          </w:tcPr>
          <w:p w:rsidR="00522688" w:rsidRDefault="004E4FBB">
            <w:pPr>
              <w:jc w:val="center"/>
              <w:rPr>
                <w:sz w:val="18"/>
                <w:szCs w:val="18"/>
              </w:rPr>
            </w:pPr>
            <w:r>
              <w:rPr>
                <w:sz w:val="18"/>
                <w:szCs w:val="18"/>
              </w:rPr>
              <w:t>100</w:t>
            </w:r>
          </w:p>
        </w:tc>
      </w:tr>
    </w:tbl>
    <w:p w:rsidR="00522688" w:rsidRDefault="00522688"/>
    <w:p w:rsidR="00522688" w:rsidRDefault="004E4FBB">
      <w:r>
        <w:t xml:space="preserve">En las convocatorias limitadas a Mipyme el puntaje por este concepto se trasladará al puntaje de Experiencia del Proponente. En este caso el Pliego de Condiciones definitivo incluirá el siguiente cuadro: </w:t>
      </w:r>
    </w:p>
    <w:p w:rsidR="00522688" w:rsidRDefault="00522688"/>
    <w:p w:rsidR="00522688" w:rsidRDefault="004E4FBB">
      <w:r>
        <w:t>La Entidad calificará las ofertas que hayan cumpli</w:t>
      </w:r>
      <w:r>
        <w:t>do los requisitos habilitantes con los siguientes criterios de evaluación y puntajes:</w:t>
      </w:r>
    </w:p>
    <w:p w:rsidR="00522688" w:rsidRDefault="00522688"/>
    <w:tbl>
      <w:tblPr>
        <w:tblStyle w:val="a8"/>
        <w:tblW w:w="594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701"/>
      </w:tblGrid>
      <w:tr w:rsidR="00522688">
        <w:trPr>
          <w:trHeight w:val="283"/>
          <w:jc w:val="center"/>
        </w:trPr>
        <w:tc>
          <w:tcPr>
            <w:tcW w:w="4248" w:type="dxa"/>
            <w:shd w:val="clear" w:color="auto" w:fill="3B3838"/>
            <w:vAlign w:val="center"/>
          </w:tcPr>
          <w:p w:rsidR="00522688" w:rsidRDefault="004E4FBB">
            <w:pPr>
              <w:jc w:val="center"/>
              <w:rPr>
                <w:b/>
                <w:sz w:val="18"/>
                <w:szCs w:val="18"/>
              </w:rPr>
            </w:pPr>
            <w:r>
              <w:rPr>
                <w:b/>
                <w:sz w:val="18"/>
                <w:szCs w:val="18"/>
              </w:rPr>
              <w:t>Concepto</w:t>
            </w:r>
          </w:p>
        </w:tc>
        <w:tc>
          <w:tcPr>
            <w:tcW w:w="1701" w:type="dxa"/>
            <w:shd w:val="clear" w:color="auto" w:fill="3B3838"/>
            <w:vAlign w:val="center"/>
          </w:tcPr>
          <w:p w:rsidR="00522688" w:rsidRDefault="004E4FBB">
            <w:pPr>
              <w:jc w:val="center"/>
              <w:rPr>
                <w:b/>
                <w:sz w:val="18"/>
                <w:szCs w:val="18"/>
              </w:rPr>
            </w:pPr>
            <w:r>
              <w:rPr>
                <w:b/>
                <w:sz w:val="18"/>
                <w:szCs w:val="18"/>
              </w:rPr>
              <w:t>Puntaje máximo</w:t>
            </w:r>
          </w:p>
        </w:tc>
      </w:tr>
      <w:tr w:rsidR="00522688">
        <w:trPr>
          <w:trHeight w:val="283"/>
          <w:jc w:val="center"/>
        </w:trPr>
        <w:tc>
          <w:tcPr>
            <w:tcW w:w="4248" w:type="dxa"/>
            <w:vAlign w:val="center"/>
          </w:tcPr>
          <w:p w:rsidR="00522688" w:rsidRDefault="004E4FBB">
            <w:pPr>
              <w:jc w:val="center"/>
              <w:rPr>
                <w:sz w:val="18"/>
                <w:szCs w:val="18"/>
              </w:rPr>
            </w:pPr>
            <w:r>
              <w:rPr>
                <w:sz w:val="18"/>
                <w:szCs w:val="18"/>
              </w:rPr>
              <w:t>Experiencia del Proponente</w:t>
            </w:r>
          </w:p>
        </w:tc>
        <w:tc>
          <w:tcPr>
            <w:tcW w:w="1701" w:type="dxa"/>
            <w:vAlign w:val="center"/>
          </w:tcPr>
          <w:p w:rsidR="00522688" w:rsidRDefault="004E4FBB">
            <w:pPr>
              <w:jc w:val="center"/>
              <w:rPr>
                <w:sz w:val="18"/>
                <w:szCs w:val="18"/>
              </w:rPr>
            </w:pPr>
            <w:r>
              <w:rPr>
                <w:sz w:val="18"/>
                <w:szCs w:val="18"/>
              </w:rPr>
              <w:t>67,75</w:t>
            </w:r>
          </w:p>
        </w:tc>
      </w:tr>
      <w:tr w:rsidR="00522688">
        <w:trPr>
          <w:trHeight w:val="283"/>
          <w:jc w:val="center"/>
        </w:trPr>
        <w:tc>
          <w:tcPr>
            <w:tcW w:w="4248" w:type="dxa"/>
            <w:vAlign w:val="center"/>
          </w:tcPr>
          <w:p w:rsidR="00522688" w:rsidRDefault="004E4FBB">
            <w:pPr>
              <w:jc w:val="center"/>
              <w:rPr>
                <w:sz w:val="18"/>
                <w:szCs w:val="18"/>
              </w:rPr>
            </w:pPr>
            <w:r>
              <w:rPr>
                <w:sz w:val="18"/>
                <w:szCs w:val="18"/>
              </w:rPr>
              <w:t>Equipo de trabajo (Personal Clave Evaluable)</w:t>
            </w:r>
          </w:p>
        </w:tc>
        <w:tc>
          <w:tcPr>
            <w:tcW w:w="1701" w:type="dxa"/>
            <w:vAlign w:val="center"/>
          </w:tcPr>
          <w:p w:rsidR="00522688" w:rsidRDefault="004E4FBB">
            <w:pPr>
              <w:jc w:val="center"/>
              <w:rPr>
                <w:sz w:val="18"/>
                <w:szCs w:val="18"/>
              </w:rPr>
            </w:pPr>
            <w:r>
              <w:rPr>
                <w:sz w:val="18"/>
                <w:szCs w:val="18"/>
              </w:rPr>
              <w:t>10</w:t>
            </w:r>
          </w:p>
        </w:tc>
      </w:tr>
      <w:tr w:rsidR="00522688">
        <w:trPr>
          <w:trHeight w:val="283"/>
          <w:jc w:val="center"/>
        </w:trPr>
        <w:tc>
          <w:tcPr>
            <w:tcW w:w="4248" w:type="dxa"/>
            <w:vAlign w:val="center"/>
          </w:tcPr>
          <w:p w:rsidR="00522688" w:rsidRDefault="004E4FBB">
            <w:pPr>
              <w:jc w:val="center"/>
              <w:rPr>
                <w:sz w:val="18"/>
                <w:szCs w:val="18"/>
              </w:rPr>
            </w:pPr>
            <w:r>
              <w:rPr>
                <w:sz w:val="18"/>
                <w:szCs w:val="18"/>
              </w:rPr>
              <w:t>Factor de sostenibilidad</w:t>
            </w:r>
          </w:p>
        </w:tc>
        <w:tc>
          <w:tcPr>
            <w:tcW w:w="1701" w:type="dxa"/>
            <w:vAlign w:val="center"/>
          </w:tcPr>
          <w:p w:rsidR="00522688" w:rsidRDefault="004E4FBB">
            <w:pPr>
              <w:jc w:val="center"/>
              <w:rPr>
                <w:sz w:val="18"/>
                <w:szCs w:val="18"/>
              </w:rPr>
            </w:pPr>
            <w:r>
              <w:rPr>
                <w:sz w:val="18"/>
                <w:szCs w:val="18"/>
              </w:rPr>
              <w:t>1</w:t>
            </w:r>
          </w:p>
        </w:tc>
      </w:tr>
      <w:tr w:rsidR="00522688">
        <w:trPr>
          <w:trHeight w:val="283"/>
          <w:jc w:val="center"/>
        </w:trPr>
        <w:tc>
          <w:tcPr>
            <w:tcW w:w="4248" w:type="dxa"/>
            <w:vAlign w:val="center"/>
          </w:tcPr>
          <w:p w:rsidR="00522688" w:rsidRDefault="004E4FBB">
            <w:pPr>
              <w:jc w:val="center"/>
              <w:rPr>
                <w:sz w:val="18"/>
                <w:szCs w:val="18"/>
              </w:rPr>
            </w:pPr>
            <w:r>
              <w:rPr>
                <w:sz w:val="18"/>
                <w:szCs w:val="18"/>
              </w:rPr>
              <w:t>Apoyo a la industria nacional</w:t>
            </w:r>
          </w:p>
        </w:tc>
        <w:tc>
          <w:tcPr>
            <w:tcW w:w="1701" w:type="dxa"/>
            <w:vAlign w:val="center"/>
          </w:tcPr>
          <w:p w:rsidR="00522688" w:rsidRDefault="004E4FBB">
            <w:pPr>
              <w:jc w:val="center"/>
              <w:rPr>
                <w:sz w:val="18"/>
                <w:szCs w:val="18"/>
              </w:rPr>
            </w:pPr>
            <w:r>
              <w:rPr>
                <w:sz w:val="18"/>
                <w:szCs w:val="18"/>
              </w:rPr>
              <w:t>20</w:t>
            </w:r>
          </w:p>
        </w:tc>
      </w:tr>
      <w:tr w:rsidR="00522688">
        <w:trPr>
          <w:trHeight w:val="283"/>
          <w:jc w:val="center"/>
        </w:trPr>
        <w:tc>
          <w:tcPr>
            <w:tcW w:w="4248" w:type="dxa"/>
            <w:vAlign w:val="center"/>
          </w:tcPr>
          <w:p w:rsidR="00522688" w:rsidRDefault="004E4FBB">
            <w:pPr>
              <w:jc w:val="center"/>
              <w:rPr>
                <w:sz w:val="18"/>
                <w:szCs w:val="18"/>
              </w:rPr>
            </w:pPr>
            <w:r>
              <w:rPr>
                <w:sz w:val="18"/>
                <w:szCs w:val="18"/>
              </w:rPr>
              <w:t>Vinculación de personas con discapacidad</w:t>
            </w:r>
          </w:p>
        </w:tc>
        <w:tc>
          <w:tcPr>
            <w:tcW w:w="1701" w:type="dxa"/>
            <w:vAlign w:val="center"/>
          </w:tcPr>
          <w:p w:rsidR="00522688" w:rsidRDefault="004E4FBB">
            <w:pPr>
              <w:jc w:val="center"/>
              <w:rPr>
                <w:sz w:val="18"/>
                <w:szCs w:val="18"/>
              </w:rPr>
            </w:pPr>
            <w:r>
              <w:rPr>
                <w:sz w:val="18"/>
                <w:szCs w:val="18"/>
              </w:rPr>
              <w:t>1</w:t>
            </w:r>
          </w:p>
        </w:tc>
      </w:tr>
      <w:tr w:rsidR="00522688">
        <w:trPr>
          <w:trHeight w:val="283"/>
          <w:jc w:val="center"/>
        </w:trPr>
        <w:tc>
          <w:tcPr>
            <w:tcW w:w="4248" w:type="dxa"/>
            <w:vAlign w:val="center"/>
          </w:tcPr>
          <w:p w:rsidR="00522688" w:rsidRDefault="004E4FBB">
            <w:pPr>
              <w:jc w:val="center"/>
              <w:rPr>
                <w:sz w:val="18"/>
                <w:szCs w:val="18"/>
              </w:rPr>
            </w:pPr>
            <w:r>
              <w:rPr>
                <w:sz w:val="18"/>
                <w:szCs w:val="18"/>
              </w:rPr>
              <w:t>Emprendimientos y empresas de mujeres</w:t>
            </w:r>
          </w:p>
        </w:tc>
        <w:tc>
          <w:tcPr>
            <w:tcW w:w="1701" w:type="dxa"/>
            <w:vAlign w:val="center"/>
          </w:tcPr>
          <w:p w:rsidR="00522688" w:rsidRDefault="004E4FBB">
            <w:pPr>
              <w:jc w:val="center"/>
              <w:rPr>
                <w:sz w:val="18"/>
                <w:szCs w:val="18"/>
              </w:rPr>
            </w:pPr>
            <w:r>
              <w:rPr>
                <w:sz w:val="18"/>
                <w:szCs w:val="18"/>
              </w:rPr>
              <w:t>0,25</w:t>
            </w:r>
          </w:p>
        </w:tc>
      </w:tr>
      <w:tr w:rsidR="00522688">
        <w:trPr>
          <w:trHeight w:val="283"/>
          <w:jc w:val="center"/>
        </w:trPr>
        <w:tc>
          <w:tcPr>
            <w:tcW w:w="4248" w:type="dxa"/>
            <w:vAlign w:val="center"/>
          </w:tcPr>
          <w:p w:rsidR="00522688" w:rsidRDefault="004E4FBB">
            <w:pPr>
              <w:jc w:val="center"/>
              <w:rPr>
                <w:sz w:val="18"/>
                <w:szCs w:val="18"/>
              </w:rPr>
            </w:pPr>
            <w:r>
              <w:rPr>
                <w:sz w:val="18"/>
                <w:szCs w:val="18"/>
              </w:rPr>
              <w:t>Total</w:t>
            </w:r>
          </w:p>
        </w:tc>
        <w:tc>
          <w:tcPr>
            <w:tcW w:w="1701" w:type="dxa"/>
            <w:vAlign w:val="center"/>
          </w:tcPr>
          <w:p w:rsidR="00522688" w:rsidRDefault="004E4FBB">
            <w:pPr>
              <w:jc w:val="center"/>
              <w:rPr>
                <w:sz w:val="18"/>
                <w:szCs w:val="18"/>
              </w:rPr>
            </w:pPr>
            <w:r>
              <w:rPr>
                <w:sz w:val="18"/>
                <w:szCs w:val="18"/>
              </w:rPr>
              <w:t>100</w:t>
            </w:r>
          </w:p>
        </w:tc>
      </w:tr>
    </w:tbl>
    <w:p w:rsidR="00522688" w:rsidRDefault="00522688"/>
    <w:p w:rsidR="00522688" w:rsidRDefault="004E4FBB">
      <w:r>
        <w:t>Las Entidades deberán reducir durante la evaluación de las ofertas dos (2) puntos a los Proponentes que se les haya impuesto una o más multas o cláusulas p</w:t>
      </w:r>
      <w:r>
        <w:t>enales durante el último año, contado a partir de la fecha prevista para el cierre del proceso, sin importar la cuantía y sin perjuicio de las demás consecuencias derivadas del incumplimiento. Esta reducción también afectará a los Consorcios y a las Unione</w:t>
      </w:r>
      <w:r>
        <w:t xml:space="preserve">s Temporales si alguno de sus integrantes se encuentra en la situación anterior. </w:t>
      </w:r>
    </w:p>
    <w:p w:rsidR="00522688" w:rsidRDefault="00522688"/>
    <w:p w:rsidR="00522688" w:rsidRDefault="004E4FBB">
      <w:r>
        <w:t>La reducción del puntaje antes señalada no se materializará en caso de que los actos administrativos que hayan impuesto las multas sean objeto de control jurisdiccional prev</w:t>
      </w:r>
      <w:r>
        <w:t>istos en la Ley 1437 de 2011 o las normas que la modifiquen, adicionen o sustituyan. Además, se aplicará sin perjuicio de lo dispuesto en el artículo 6 de la Ley 2020 de 2020. Lo anterior de conformidad con el artículo 58 de la Ley 2195 de 2022 y las norma</w:t>
      </w:r>
      <w:r>
        <w:t>s que lo modifiquen, sustituyan, adicionen o reglamenten.</w:t>
      </w:r>
    </w:p>
    <w:p w:rsidR="00522688" w:rsidRDefault="00522688"/>
    <w:p w:rsidR="00522688" w:rsidRDefault="004E4FBB">
      <w:pPr>
        <w:pStyle w:val="Ttulo2"/>
        <w:numPr>
          <w:ilvl w:val="1"/>
          <w:numId w:val="15"/>
        </w:numPr>
        <w:ind w:left="709" w:hanging="709"/>
      </w:pPr>
      <w:bookmarkStart w:id="54" w:name="_heading=h.3l18frh" w:colFirst="0" w:colLast="0"/>
      <w:bookmarkEnd w:id="54"/>
      <w:r>
        <w:t xml:space="preserve">FORMA DE VERIFICACIÓN Y ASIGNACIÓN DE PUNTAJE POR LA EXPERIENCIA DEL PROPONENTE </w:t>
      </w:r>
    </w:p>
    <w:p w:rsidR="00522688" w:rsidRDefault="00522688"/>
    <w:p w:rsidR="00522688" w:rsidRDefault="004E4FBB">
      <w:r>
        <w:lastRenderedPageBreak/>
        <w:t>La Entidad evaluará la experiencia del Proponente de acuerdo con los siguientes pasos:</w:t>
      </w:r>
    </w:p>
    <w:p w:rsidR="00522688" w:rsidRDefault="00522688"/>
    <w:p w:rsidR="00522688" w:rsidRDefault="004E4FBB">
      <w:pPr>
        <w:numPr>
          <w:ilvl w:val="0"/>
          <w:numId w:val="18"/>
        </w:numPr>
        <w:pBdr>
          <w:top w:val="nil"/>
          <w:left w:val="nil"/>
          <w:bottom w:val="nil"/>
          <w:right w:val="nil"/>
          <w:between w:val="nil"/>
        </w:pBdr>
        <w:rPr>
          <w:color w:val="000000"/>
        </w:rPr>
      </w:pPr>
      <w:r>
        <w:rPr>
          <w:color w:val="000000"/>
        </w:rPr>
        <w:t>El Proponente cumplirá con la exigencia mínima de experiencia prevista en el numeral 3.8.1. De acuerdo con lo anterior, si el Proponente debió subsanar el cumplimiento de la experiencia mínima, para la asignación de puntaje no se tendrán en cuenta los cont</w:t>
      </w:r>
      <w:r>
        <w:rPr>
          <w:color w:val="000000"/>
        </w:rPr>
        <w:t xml:space="preserve">ratos que hayan sido objeto de subsanación, ni para definir el promedio de los contratos válidos aportados que se refiere el literal B) de este numeral. </w:t>
      </w:r>
    </w:p>
    <w:p w:rsidR="00522688" w:rsidRDefault="00522688"/>
    <w:p w:rsidR="00522688" w:rsidRDefault="004E4FBB">
      <w:pPr>
        <w:pBdr>
          <w:top w:val="nil"/>
          <w:left w:val="nil"/>
          <w:bottom w:val="nil"/>
          <w:right w:val="nil"/>
          <w:between w:val="nil"/>
        </w:pBdr>
        <w:ind w:left="720"/>
        <w:rPr>
          <w:color w:val="000000"/>
        </w:rPr>
      </w:pPr>
      <w:r>
        <w:rPr>
          <w:color w:val="000000"/>
        </w:rPr>
        <w:t>En el caso en el cual un Proponente haya subsanado la totalidad de los Contratos aportados, su oferta</w:t>
      </w:r>
      <w:r>
        <w:rPr>
          <w:color w:val="000000"/>
        </w:rPr>
        <w:t xml:space="preserve"> no será tenida en cuenta para aplicar las fórmulas para la ponderación de la Experiencia del Proponente, por lo que, además, por este criterio de asignación de puntaje obtendrá cero (0) puntos.</w:t>
      </w:r>
    </w:p>
    <w:p w:rsidR="00522688" w:rsidRDefault="004E4FBB">
      <w:pPr>
        <w:numPr>
          <w:ilvl w:val="0"/>
          <w:numId w:val="18"/>
        </w:numPr>
        <w:pBdr>
          <w:top w:val="nil"/>
          <w:left w:val="nil"/>
          <w:bottom w:val="nil"/>
          <w:right w:val="nil"/>
          <w:between w:val="nil"/>
        </w:pBdr>
        <w:rPr>
          <w:color w:val="000000"/>
        </w:rPr>
      </w:pPr>
      <w:r>
        <w:rPr>
          <w:color w:val="000000"/>
        </w:rPr>
        <w:t>Para la asignación de puntaje, se tomará el promedio de los c</w:t>
      </w:r>
      <w:r>
        <w:rPr>
          <w:color w:val="000000"/>
        </w:rPr>
        <w:t>ontratos válidos aportados de cada propuesta hábil expresados en SMMLV registrados en el RUP o en alguno de los documentos válidos señalados en el numeral 10.1.5, que acredite su experiencia relacionada en el RUP, y que en total hayan cumplido con lo menci</w:t>
      </w:r>
      <w:r>
        <w:rPr>
          <w:color w:val="000000"/>
        </w:rPr>
        <w:t xml:space="preserve">onado en el literal A de esta sección. Dicho promedio será el valor que lo hará participar para la asignación del puntaje, según se detalla en esta sección. </w:t>
      </w:r>
    </w:p>
    <w:p w:rsidR="00522688" w:rsidRDefault="004E4FBB">
      <w:pPr>
        <w:numPr>
          <w:ilvl w:val="0"/>
          <w:numId w:val="18"/>
        </w:numPr>
        <w:pBdr>
          <w:top w:val="nil"/>
          <w:left w:val="nil"/>
          <w:bottom w:val="nil"/>
          <w:right w:val="nil"/>
          <w:between w:val="nil"/>
        </w:pBdr>
        <w:rPr>
          <w:color w:val="000000"/>
        </w:rPr>
      </w:pPr>
      <w:r>
        <w:rPr>
          <w:color w:val="000000"/>
        </w:rPr>
        <w:t>Posteriormente, se seleccionará un método aleatorio en función de la Tasa de Cambio Representativa</w:t>
      </w:r>
      <w:r>
        <w:rPr>
          <w:color w:val="000000"/>
        </w:rPr>
        <w:t xml:space="preserve"> del Mercado (TRM) certificada por la Superintendencia Financiera de Colombia </w:t>
      </w:r>
      <w:r>
        <w:rPr>
          <w:color w:val="000000"/>
          <w:highlight w:val="lightGray"/>
        </w:rPr>
        <w:t xml:space="preserve">[en su sitio web: </w:t>
      </w:r>
      <w:hyperlink r:id="rId16">
        <w:r>
          <w:rPr>
            <w:color w:val="0563C1"/>
            <w:highlight w:val="lightGray"/>
            <w:u w:val="single"/>
          </w:rPr>
          <w:t>https://www.superfinanciera.gov.co/publicacion/60819</w:t>
        </w:r>
      </w:hyperlink>
      <w:r>
        <w:rPr>
          <w:color w:val="000000"/>
          <w:highlight w:val="lightGray"/>
        </w:rPr>
        <w:t>]</w:t>
      </w:r>
      <w:r>
        <w:rPr>
          <w:color w:val="000000"/>
        </w:rPr>
        <w:t>.</w:t>
      </w:r>
    </w:p>
    <w:p w:rsidR="00522688" w:rsidRDefault="00522688"/>
    <w:p w:rsidR="00522688" w:rsidRDefault="004E4FBB">
      <w:pPr>
        <w:pBdr>
          <w:top w:val="nil"/>
          <w:left w:val="nil"/>
          <w:bottom w:val="nil"/>
          <w:right w:val="nil"/>
          <w:between w:val="nil"/>
        </w:pBdr>
        <w:ind w:left="720"/>
        <w:rPr>
          <w:color w:val="000000"/>
        </w:rPr>
      </w:pPr>
      <w:r>
        <w:rPr>
          <w:color w:val="000000"/>
        </w:rPr>
        <w:t>La TRM que la Entidad utilizará para determinar el método de ponderación será la que rija el segundo día hábil después del cierre del proceso, aun cuando la fecha de la adjudicación se modifique posteriormente durante el Proceso de Contratación. Esto es, l</w:t>
      </w:r>
      <w:r>
        <w:rPr>
          <w:color w:val="000000"/>
        </w:rPr>
        <w:t>a que la Superintendencia publique en horas de la tarde del día hábil siguiente a la fecha efectiva del cierre del Proceso de Contratación Por ejemplo, si el cierre del Proceso de Contratación se realiza el 10 de febrero, la TRM que se usará para determina</w:t>
      </w:r>
      <w:r>
        <w:rPr>
          <w:color w:val="000000"/>
        </w:rPr>
        <w:t>r el método de evaluación será la del 12 de febrero, que se publica en la tarde del 11 de febrero.</w:t>
      </w:r>
    </w:p>
    <w:p w:rsidR="00522688" w:rsidRDefault="00522688"/>
    <w:p w:rsidR="00522688" w:rsidRDefault="004E4FBB">
      <w:pPr>
        <w:pBdr>
          <w:top w:val="nil"/>
          <w:left w:val="nil"/>
          <w:bottom w:val="nil"/>
          <w:right w:val="nil"/>
          <w:between w:val="nil"/>
        </w:pBdr>
        <w:ind w:left="720"/>
        <w:rPr>
          <w:color w:val="000000"/>
        </w:rPr>
      </w:pPr>
      <w:r>
        <w:rPr>
          <w:color w:val="000000"/>
        </w:rPr>
        <w:t>El método de ponderación se determinará de acuerdo con los rangos del siguiente cuadro, en función de la parte decimal –centavos– de la TRM:</w:t>
      </w:r>
    </w:p>
    <w:p w:rsidR="00522688" w:rsidRDefault="00522688">
      <w:pPr>
        <w:pBdr>
          <w:top w:val="nil"/>
          <w:left w:val="nil"/>
          <w:bottom w:val="nil"/>
          <w:right w:val="nil"/>
          <w:between w:val="nil"/>
        </w:pBdr>
        <w:ind w:left="720"/>
        <w:rPr>
          <w:color w:val="000000"/>
        </w:rPr>
      </w:pPr>
    </w:p>
    <w:tbl>
      <w:tblPr>
        <w:tblStyle w:val="a9"/>
        <w:tblW w:w="61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31"/>
        <w:gridCol w:w="1139"/>
        <w:gridCol w:w="2835"/>
      </w:tblGrid>
      <w:tr w:rsidR="00522688">
        <w:trPr>
          <w:trHeight w:val="283"/>
          <w:jc w:val="center"/>
        </w:trPr>
        <w:tc>
          <w:tcPr>
            <w:tcW w:w="2131" w:type="dxa"/>
            <w:shd w:val="clear" w:color="auto" w:fill="3B3838"/>
            <w:vAlign w:val="center"/>
          </w:tcPr>
          <w:p w:rsidR="00522688" w:rsidRDefault="004E4FBB">
            <w:pPr>
              <w:pBdr>
                <w:top w:val="nil"/>
                <w:left w:val="nil"/>
                <w:bottom w:val="nil"/>
                <w:right w:val="nil"/>
                <w:between w:val="nil"/>
              </w:pBdr>
              <w:jc w:val="center"/>
              <w:rPr>
                <w:rFonts w:eastAsia="Arial" w:cs="Arial"/>
                <w:b/>
                <w:color w:val="000000"/>
                <w:sz w:val="18"/>
                <w:szCs w:val="18"/>
              </w:rPr>
            </w:pPr>
            <w:r>
              <w:rPr>
                <w:rFonts w:eastAsia="Arial" w:cs="Arial"/>
                <w:b/>
                <w:color w:val="000000"/>
                <w:sz w:val="18"/>
                <w:szCs w:val="18"/>
              </w:rPr>
              <w:t>Rango (inclusive)</w:t>
            </w:r>
          </w:p>
        </w:tc>
        <w:tc>
          <w:tcPr>
            <w:tcW w:w="1139" w:type="dxa"/>
            <w:shd w:val="clear" w:color="auto" w:fill="3B3838"/>
            <w:vAlign w:val="center"/>
          </w:tcPr>
          <w:p w:rsidR="00522688" w:rsidRDefault="004E4FBB">
            <w:pPr>
              <w:pBdr>
                <w:top w:val="nil"/>
                <w:left w:val="nil"/>
                <w:bottom w:val="nil"/>
                <w:right w:val="nil"/>
                <w:between w:val="nil"/>
              </w:pBdr>
              <w:jc w:val="center"/>
              <w:rPr>
                <w:rFonts w:eastAsia="Arial" w:cs="Arial"/>
                <w:b/>
                <w:color w:val="000000"/>
                <w:sz w:val="18"/>
                <w:szCs w:val="18"/>
              </w:rPr>
            </w:pPr>
            <w:r>
              <w:rPr>
                <w:rFonts w:eastAsia="Arial" w:cs="Arial"/>
                <w:b/>
                <w:color w:val="000000"/>
                <w:sz w:val="18"/>
                <w:szCs w:val="18"/>
              </w:rPr>
              <w:t>Número</w:t>
            </w:r>
          </w:p>
        </w:tc>
        <w:tc>
          <w:tcPr>
            <w:tcW w:w="2835" w:type="dxa"/>
            <w:shd w:val="clear" w:color="auto" w:fill="3B3838"/>
            <w:vAlign w:val="center"/>
          </w:tcPr>
          <w:p w:rsidR="00522688" w:rsidRDefault="004E4FBB">
            <w:pPr>
              <w:pBdr>
                <w:top w:val="nil"/>
                <w:left w:val="nil"/>
                <w:bottom w:val="nil"/>
                <w:right w:val="nil"/>
                <w:between w:val="nil"/>
              </w:pBdr>
              <w:jc w:val="center"/>
              <w:rPr>
                <w:rFonts w:eastAsia="Arial" w:cs="Arial"/>
                <w:b/>
                <w:color w:val="000000"/>
                <w:sz w:val="18"/>
                <w:szCs w:val="18"/>
              </w:rPr>
            </w:pPr>
            <w:r>
              <w:rPr>
                <w:rFonts w:eastAsia="Arial" w:cs="Arial"/>
                <w:b/>
                <w:color w:val="000000"/>
                <w:sz w:val="18"/>
                <w:szCs w:val="18"/>
              </w:rPr>
              <w:t>Método</w:t>
            </w:r>
          </w:p>
        </w:tc>
      </w:tr>
      <w:tr w:rsidR="00522688">
        <w:trPr>
          <w:trHeight w:val="283"/>
          <w:jc w:val="center"/>
        </w:trPr>
        <w:tc>
          <w:tcPr>
            <w:tcW w:w="2131"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De 0.00 a 0.33</w:t>
            </w:r>
          </w:p>
        </w:tc>
        <w:tc>
          <w:tcPr>
            <w:tcW w:w="1139"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1</w:t>
            </w:r>
          </w:p>
        </w:tc>
        <w:tc>
          <w:tcPr>
            <w:tcW w:w="2835"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Mediana con valor absoluto</w:t>
            </w:r>
          </w:p>
        </w:tc>
      </w:tr>
      <w:tr w:rsidR="00522688">
        <w:trPr>
          <w:trHeight w:val="283"/>
          <w:jc w:val="center"/>
        </w:trPr>
        <w:tc>
          <w:tcPr>
            <w:tcW w:w="2131"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De 0.34 a 0.66</w:t>
            </w:r>
          </w:p>
        </w:tc>
        <w:tc>
          <w:tcPr>
            <w:tcW w:w="1139"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2</w:t>
            </w:r>
          </w:p>
        </w:tc>
        <w:tc>
          <w:tcPr>
            <w:tcW w:w="2835"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Media geométrica</w:t>
            </w:r>
          </w:p>
        </w:tc>
      </w:tr>
      <w:tr w:rsidR="00522688">
        <w:trPr>
          <w:trHeight w:val="283"/>
          <w:jc w:val="center"/>
        </w:trPr>
        <w:tc>
          <w:tcPr>
            <w:tcW w:w="2131"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De 0.67 a 0.99</w:t>
            </w:r>
          </w:p>
        </w:tc>
        <w:tc>
          <w:tcPr>
            <w:tcW w:w="1139"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3</w:t>
            </w:r>
          </w:p>
        </w:tc>
        <w:tc>
          <w:tcPr>
            <w:tcW w:w="2835" w:type="dxa"/>
            <w:vAlign w:val="center"/>
          </w:tcPr>
          <w:p w:rsidR="00522688" w:rsidRDefault="004E4FBB">
            <w:pPr>
              <w:pBdr>
                <w:top w:val="nil"/>
                <w:left w:val="nil"/>
                <w:bottom w:val="nil"/>
                <w:right w:val="nil"/>
                <w:between w:val="nil"/>
              </w:pBdr>
              <w:jc w:val="center"/>
              <w:rPr>
                <w:rFonts w:eastAsia="Arial" w:cs="Arial"/>
                <w:color w:val="000000"/>
                <w:sz w:val="18"/>
                <w:szCs w:val="18"/>
              </w:rPr>
            </w:pPr>
            <w:r>
              <w:rPr>
                <w:rFonts w:eastAsia="Arial" w:cs="Arial"/>
                <w:color w:val="000000"/>
                <w:sz w:val="18"/>
                <w:szCs w:val="18"/>
              </w:rPr>
              <w:t>Media aritmética alta</w:t>
            </w:r>
          </w:p>
        </w:tc>
      </w:tr>
    </w:tbl>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rPr>
        <w:t xml:space="preserve">En todos los casos se tendrá en cuenta hasta el séptimo (7°) decimal del valor obtenido como puntaje y las fórmulas se aplicarán con las propuestas que no han sido rechazadas y se encuentran válidas. </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highlight w:val="lightGray"/>
        </w:rPr>
        <w:t>[En los Procesos de Contratación estructurados por lot</w:t>
      </w:r>
      <w:r>
        <w:rPr>
          <w:color w:val="000000"/>
          <w:highlight w:val="lightGray"/>
        </w:rPr>
        <w:t>es o grupos, la TRM definirá el método con el cual se asignará el puntaje para el primer lote o grupo a adjudicar, según el orden definido por la Entidad. Para la adjudicación del segundo lote o grupo se tomará el siguiente método de acuerdo con la tabla a</w:t>
      </w:r>
      <w:r>
        <w:rPr>
          <w:color w:val="000000"/>
          <w:highlight w:val="lightGray"/>
        </w:rPr>
        <w:t>nterior, en orden ascendente, y así sucesivamente; teniendo en cuenta que se reiniciará desde el primer método en caso de agotarse el último método].</w:t>
      </w:r>
      <w:r>
        <w:rPr>
          <w:color w:val="000000"/>
        </w:rPr>
        <w:t xml:space="preserve">  </w:t>
      </w:r>
    </w:p>
    <w:p w:rsidR="00522688" w:rsidRDefault="004E4FBB">
      <w:pPr>
        <w:numPr>
          <w:ilvl w:val="0"/>
          <w:numId w:val="18"/>
        </w:numPr>
        <w:pBdr>
          <w:top w:val="nil"/>
          <w:left w:val="nil"/>
          <w:bottom w:val="nil"/>
          <w:right w:val="nil"/>
          <w:between w:val="nil"/>
        </w:pBdr>
        <w:rPr>
          <w:color w:val="000000"/>
        </w:rPr>
      </w:pPr>
      <w:r>
        <w:rPr>
          <w:color w:val="000000"/>
        </w:rPr>
        <w:t>Dependiendo del método aleatorio establecido según la TRM, cada uno de los Proponentes habilitados participarán con el valor del promedio de los contratos válidos aportados que no fueron objeto de subsanación según la metodología descrita para cada alterna</w:t>
      </w:r>
      <w:r>
        <w:rPr>
          <w:color w:val="000000"/>
        </w:rPr>
        <w:t xml:space="preserve">tiva. </w:t>
      </w:r>
    </w:p>
    <w:p w:rsidR="00522688" w:rsidRDefault="00522688">
      <w:pPr>
        <w:pBdr>
          <w:top w:val="nil"/>
          <w:left w:val="nil"/>
          <w:bottom w:val="nil"/>
          <w:right w:val="nil"/>
          <w:between w:val="nil"/>
        </w:pBdr>
        <w:ind w:left="720"/>
        <w:rPr>
          <w:color w:val="000000"/>
        </w:rPr>
      </w:pPr>
    </w:p>
    <w:p w:rsidR="00522688" w:rsidRDefault="004E4FBB">
      <w:r>
        <w:t>Las alternativas de evaluación son detalladas a continuación:</w:t>
      </w:r>
    </w:p>
    <w:p w:rsidR="00522688" w:rsidRDefault="00522688"/>
    <w:p w:rsidR="00522688" w:rsidRDefault="004E4FBB">
      <w:pPr>
        <w:numPr>
          <w:ilvl w:val="1"/>
          <w:numId w:val="46"/>
        </w:numPr>
        <w:pBdr>
          <w:top w:val="nil"/>
          <w:left w:val="nil"/>
          <w:bottom w:val="nil"/>
          <w:right w:val="nil"/>
          <w:between w:val="nil"/>
        </w:pBdr>
        <w:ind w:left="426" w:hanging="284"/>
        <w:rPr>
          <w:b/>
          <w:color w:val="000000"/>
        </w:rPr>
      </w:pPr>
      <w:r>
        <w:rPr>
          <w:b/>
          <w:color w:val="000000"/>
        </w:rPr>
        <w:t xml:space="preserve">Mediana con valor absoluto </w:t>
      </w:r>
    </w:p>
    <w:p w:rsidR="00522688" w:rsidRDefault="00522688"/>
    <w:p w:rsidR="00522688" w:rsidRDefault="004E4FBB">
      <w:r>
        <w:t>La Entidad calculará el valor de la mediana con el promedio de los SMMLV de los contratos válidos aportados de las propuestas hábiles y que no fueron objeto</w:t>
      </w:r>
      <w:r>
        <w:t xml:space="preserve"> de subsanación. En esta alternativa se entenderá por mediana de un grupo de valores el resultado del cálculo que se obtiene mediante la aplicación del siguiente proceso: </w:t>
      </w:r>
    </w:p>
    <w:p w:rsidR="00522688" w:rsidRDefault="00522688"/>
    <w:p w:rsidR="00522688" w:rsidRDefault="004E4FBB">
      <w:pPr>
        <w:numPr>
          <w:ilvl w:val="2"/>
          <w:numId w:val="19"/>
        </w:numPr>
        <w:pBdr>
          <w:top w:val="nil"/>
          <w:left w:val="nil"/>
          <w:bottom w:val="nil"/>
          <w:right w:val="nil"/>
          <w:between w:val="nil"/>
        </w:pBdr>
        <w:ind w:left="567" w:hanging="283"/>
        <w:rPr>
          <w:color w:val="000000"/>
        </w:rPr>
      </w:pPr>
      <w:r>
        <w:rPr>
          <w:color w:val="000000"/>
        </w:rPr>
        <w:t xml:space="preserve">La Entidad ordena los valores de las propuestas hábiles de manera descendente. </w:t>
      </w:r>
    </w:p>
    <w:p w:rsidR="00522688" w:rsidRDefault="004E4FBB">
      <w:pPr>
        <w:numPr>
          <w:ilvl w:val="2"/>
          <w:numId w:val="19"/>
        </w:numPr>
        <w:pBdr>
          <w:top w:val="nil"/>
          <w:left w:val="nil"/>
          <w:bottom w:val="nil"/>
          <w:right w:val="nil"/>
          <w:between w:val="nil"/>
        </w:pBdr>
        <w:ind w:left="567" w:hanging="283"/>
        <w:rPr>
          <w:color w:val="000000"/>
        </w:rPr>
      </w:pPr>
      <w:r>
        <w:rPr>
          <w:color w:val="000000"/>
        </w:rPr>
        <w:t xml:space="preserve">Si el número de valores es </w:t>
      </w:r>
      <w:r>
        <w:rPr>
          <w:color w:val="000000"/>
          <w:u w:val="single"/>
        </w:rPr>
        <w:t>impar</w:t>
      </w:r>
      <w:r>
        <w:rPr>
          <w:color w:val="000000"/>
        </w:rPr>
        <w:t xml:space="preserve">, la mediana corresponde al valor central. </w:t>
      </w:r>
    </w:p>
    <w:p w:rsidR="00522688" w:rsidRDefault="004E4FBB">
      <w:pPr>
        <w:numPr>
          <w:ilvl w:val="2"/>
          <w:numId w:val="19"/>
        </w:numPr>
        <w:pBdr>
          <w:top w:val="nil"/>
          <w:left w:val="nil"/>
          <w:bottom w:val="nil"/>
          <w:right w:val="nil"/>
          <w:between w:val="nil"/>
        </w:pBdr>
        <w:ind w:left="567" w:hanging="283"/>
        <w:rPr>
          <w:color w:val="000000"/>
        </w:rPr>
      </w:pPr>
      <w:r>
        <w:rPr>
          <w:color w:val="000000"/>
        </w:rPr>
        <w:t xml:space="preserve">Si el número de valores es </w:t>
      </w:r>
      <w:r>
        <w:rPr>
          <w:color w:val="000000"/>
          <w:u w:val="single"/>
        </w:rPr>
        <w:t>par</w:t>
      </w:r>
      <w:r>
        <w:rPr>
          <w:color w:val="000000"/>
        </w:rPr>
        <w:t xml:space="preserve">, la mediana corresponde al promedio de los dos valores centrales. </w:t>
      </w:r>
    </w:p>
    <w:p w:rsidR="00522688" w:rsidRDefault="00522688"/>
    <w:p w:rsidR="00522688" w:rsidRDefault="004E4FBB">
      <w:r>
        <w:t xml:space="preserve">Bajo este método la Entidad asignará el puntaje así: </w:t>
      </w:r>
    </w:p>
    <w:p w:rsidR="00522688" w:rsidRDefault="00522688"/>
    <w:p w:rsidR="00522688" w:rsidRDefault="004E4FBB">
      <w:pPr>
        <w:numPr>
          <w:ilvl w:val="0"/>
          <w:numId w:val="20"/>
        </w:numPr>
        <w:pBdr>
          <w:top w:val="nil"/>
          <w:left w:val="nil"/>
          <w:bottom w:val="nil"/>
          <w:right w:val="nil"/>
          <w:between w:val="nil"/>
        </w:pBdr>
        <w:ind w:left="426" w:hanging="426"/>
        <w:rPr>
          <w:color w:val="000000"/>
        </w:rPr>
      </w:pPr>
      <w:r>
        <w:rPr>
          <w:color w:val="000000"/>
        </w:rPr>
        <w:t>Si el número de valores de</w:t>
      </w:r>
      <w:r>
        <w:rPr>
          <w:color w:val="000000"/>
        </w:rPr>
        <w:t xml:space="preserve"> las propuestas hábiles es </w:t>
      </w:r>
      <w:r>
        <w:rPr>
          <w:color w:val="000000"/>
          <w:u w:val="single"/>
        </w:rPr>
        <w:t>impar</w:t>
      </w:r>
      <w:r>
        <w:rPr>
          <w:color w:val="000000"/>
        </w:rPr>
        <w:t>, el máximo puntaje será asignado a la propuesta que se encuentre en el valor de la mediana de SMMLV de los contratos válidos de los Proponentes habilitados y que no fueron objeto de subsanación. Para las otras propuestas, s</w:t>
      </w:r>
      <w:r>
        <w:rPr>
          <w:color w:val="000000"/>
        </w:rPr>
        <w:t>e utiliza la siguiente fórmula de asignación de puntaje:</w:t>
      </w:r>
    </w:p>
    <w:p w:rsidR="00522688" w:rsidRDefault="00522688">
      <w:pPr>
        <w:pBdr>
          <w:top w:val="nil"/>
          <w:left w:val="nil"/>
          <w:bottom w:val="nil"/>
          <w:right w:val="nil"/>
          <w:between w:val="nil"/>
        </w:pBdr>
        <w:ind w:left="426"/>
        <w:rPr>
          <w:color w:val="000000"/>
        </w:rPr>
      </w:pPr>
    </w:p>
    <w:p w:rsidR="00522688" w:rsidRDefault="004E4FBB">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Puntaje</m:t>
              </m:r>
            </m:e>
            <m:sub>
              <m:r>
                <w:rPr>
                  <w:rFonts w:ascii="Cambria Math" w:eastAsia="Cambria Math" w:hAnsi="Cambria Math" w:cs="Cambria Math"/>
                  <w:color w:val="000000"/>
                </w:rPr>
                <m:t>Asignar</m:t>
              </m:r>
            </m:sub>
          </m:sSub>
          <m:r>
            <w:rPr>
              <w:rFonts w:ascii="Cambria Math" w:eastAsia="Cambria Math" w:hAnsi="Cambria Math" w:cs="Cambria Math"/>
              <w:color w:val="000000"/>
            </w:rPr>
            <m:t>=</m:t>
          </m:r>
          <m:d>
            <m:dPr>
              <m:begChr m:val="["/>
              <m:endChr m:val="]"/>
              <m:ctrlPr>
                <w:rPr>
                  <w:rFonts w:ascii="Cambria Math" w:eastAsia="Cambria Math" w:hAnsi="Cambria Math" w:cs="Cambria Math"/>
                  <w:color w:val="000000"/>
                </w:rPr>
              </m:ctrlPr>
            </m:dPr>
            <m:e>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1-</m:t>
                  </m:r>
                  <m:d>
                    <m:dPr>
                      <m:begChr m:val="|"/>
                      <m:endChr m:val="|"/>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Me</m:t>
                          </m:r>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num>
                        <m:den>
                          <m:r>
                            <w:rPr>
                              <w:rFonts w:ascii="Cambria Math" w:eastAsia="Cambria Math" w:hAnsi="Cambria Math" w:cs="Cambria Math"/>
                              <w:color w:val="000000"/>
                            </w:rPr>
                            <m:t>Me</m:t>
                          </m:r>
                        </m:den>
                      </m:f>
                    </m:e>
                  </m:d>
                </m:e>
              </m:d>
              <m:r>
                <w:rPr>
                  <w:rFonts w:ascii="Cambria Math" w:eastAsia="Cambria Math" w:hAnsi="Cambria Math" w:cs="Cambria Math"/>
                  <w:color w:val="000000"/>
                </w:rPr>
                <m:t>*</m:t>
              </m:r>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e>
          </m:d>
        </m:oMath>
      </m:oMathPara>
    </w:p>
    <w:p w:rsidR="00522688" w:rsidRDefault="00522688"/>
    <w:p w:rsidR="00522688" w:rsidRDefault="004E4FBB">
      <w:pPr>
        <w:pBdr>
          <w:top w:val="nil"/>
          <w:left w:val="nil"/>
          <w:bottom w:val="nil"/>
          <w:right w:val="nil"/>
          <w:between w:val="nil"/>
        </w:pBdr>
        <w:ind w:left="426"/>
        <w:rPr>
          <w:color w:val="000000"/>
        </w:rPr>
      </w:pPr>
      <w:r>
        <w:rPr>
          <w:color w:val="000000"/>
        </w:rPr>
        <w:t>Donde:</w:t>
      </w:r>
    </w:p>
    <w:p w:rsidR="00522688" w:rsidRDefault="004E4FBB">
      <w:pPr>
        <w:numPr>
          <w:ilvl w:val="1"/>
          <w:numId w:val="3"/>
        </w:numPr>
        <w:pBdr>
          <w:top w:val="nil"/>
          <w:left w:val="nil"/>
          <w:bottom w:val="nil"/>
          <w:right w:val="nil"/>
          <w:between w:val="nil"/>
        </w:pBdr>
        <w:ind w:left="709" w:hanging="283"/>
        <w:rPr>
          <w:color w:val="000000"/>
        </w:rPr>
      </w:pPr>
      <w:r>
        <w:rPr>
          <w:color w:val="000000"/>
        </w:rPr>
        <w:t xml:space="preserve">Me: Es la mediana calculada con los promedios de los contratos válidos y que no fueron objeto de subsanación de los Proponentes habilitados. </w:t>
      </w:r>
    </w:p>
    <w:p w:rsidR="00522688" w:rsidRDefault="004E4FBB">
      <w:pPr>
        <w:numPr>
          <w:ilvl w:val="1"/>
          <w:numId w:val="3"/>
        </w:numPr>
        <w:pBdr>
          <w:top w:val="nil"/>
          <w:left w:val="nil"/>
          <w:bottom w:val="nil"/>
          <w:right w:val="nil"/>
          <w:between w:val="nil"/>
        </w:pBdr>
        <w:ind w:left="709" w:hanging="283"/>
        <w:rPr>
          <w:color w:val="000000"/>
        </w:rPr>
      </w:pPr>
      <w:r>
        <w:rPr>
          <w:color w:val="000000"/>
        </w:rPr>
        <w:t>Vi: Es el valor del promedio de los contratos válidos aportados en SMMLV de la propuesta “i” y que no fueron objet</w:t>
      </w:r>
      <w:r>
        <w:rPr>
          <w:color w:val="000000"/>
        </w:rPr>
        <w:t xml:space="preserve">o de subsanación. </w:t>
      </w:r>
    </w:p>
    <w:p w:rsidR="00522688" w:rsidRDefault="00522688"/>
    <w:p w:rsidR="00522688" w:rsidRDefault="004E4FBB">
      <w:pPr>
        <w:numPr>
          <w:ilvl w:val="0"/>
          <w:numId w:val="20"/>
        </w:numPr>
        <w:pBdr>
          <w:top w:val="nil"/>
          <w:left w:val="nil"/>
          <w:bottom w:val="nil"/>
          <w:right w:val="nil"/>
          <w:between w:val="nil"/>
        </w:pBdr>
        <w:ind w:left="426" w:hanging="426"/>
        <w:rPr>
          <w:color w:val="000000"/>
        </w:rPr>
      </w:pPr>
      <w:r>
        <w:rPr>
          <w:color w:val="000000"/>
        </w:rPr>
        <w:t xml:space="preserve">Si el número de valores de las propuestas hábiles es </w:t>
      </w:r>
      <w:r>
        <w:rPr>
          <w:color w:val="000000"/>
          <w:u w:val="single"/>
        </w:rPr>
        <w:t>par</w:t>
      </w:r>
      <w:r>
        <w:rPr>
          <w:color w:val="000000"/>
        </w:rPr>
        <w:t>, se asignará el máximo puntaje a la propuesta que se encuentre inmediatamente por debajo de la mediana. Para las otras propuestas, se aplica la siguiente fórmula:</w:t>
      </w:r>
    </w:p>
    <w:p w:rsidR="00522688" w:rsidRDefault="00522688">
      <w:pPr>
        <w:pBdr>
          <w:top w:val="nil"/>
          <w:left w:val="nil"/>
          <w:bottom w:val="nil"/>
          <w:right w:val="nil"/>
          <w:between w:val="nil"/>
        </w:pBdr>
        <w:ind w:left="426"/>
        <w:rPr>
          <w:color w:val="000000"/>
        </w:rPr>
      </w:pPr>
    </w:p>
    <w:p w:rsidR="00522688" w:rsidRDefault="004E4FBB">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Puntaje</m:t>
              </m:r>
            </m:e>
            <m:sub>
              <m:r>
                <w:rPr>
                  <w:rFonts w:ascii="Cambria Math" w:eastAsia="Cambria Math" w:hAnsi="Cambria Math" w:cs="Cambria Math"/>
                  <w:color w:val="000000"/>
                </w:rPr>
                <m:t>A</m:t>
              </m:r>
              <m:r>
                <w:rPr>
                  <w:rFonts w:ascii="Cambria Math" w:eastAsia="Cambria Math" w:hAnsi="Cambria Math" w:cs="Cambria Math"/>
                  <w:color w:val="000000"/>
                </w:rPr>
                <m:t>signar</m:t>
              </m:r>
            </m:sub>
          </m:sSub>
          <m:r>
            <w:rPr>
              <w:rFonts w:ascii="Cambria Math" w:eastAsia="Cambria Math" w:hAnsi="Cambria Math" w:cs="Cambria Math"/>
              <w:color w:val="000000"/>
            </w:rPr>
            <m:t>=</m:t>
          </m:r>
          <m:d>
            <m:dPr>
              <m:begChr m:val="["/>
              <m:endChr m:val="]"/>
              <m:ctrlPr>
                <w:rPr>
                  <w:rFonts w:ascii="Cambria Math" w:eastAsia="Cambria Math" w:hAnsi="Cambria Math" w:cs="Cambria Math"/>
                  <w:color w:val="000000"/>
                </w:rPr>
              </m:ctrlPr>
            </m:dPr>
            <m:e>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1-</m:t>
                  </m:r>
                  <m:d>
                    <m:dPr>
                      <m:begChr m:val="|"/>
                      <m:endChr m:val="|"/>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Me</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num>
                        <m:den>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Me</m:t>
                              </m:r>
                            </m:sub>
                          </m:sSub>
                        </m:den>
                      </m:f>
                    </m:e>
                  </m:d>
                </m:e>
              </m:d>
              <m:r>
                <w:rPr>
                  <w:rFonts w:ascii="Cambria Math" w:eastAsia="Cambria Math" w:hAnsi="Cambria Math" w:cs="Cambria Math"/>
                  <w:color w:val="000000"/>
                </w:rPr>
                <m:t>*</m:t>
              </m:r>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e>
          </m:d>
        </m:oMath>
      </m:oMathPara>
    </w:p>
    <w:p w:rsidR="00522688" w:rsidRDefault="00522688">
      <w:pPr>
        <w:pBdr>
          <w:top w:val="nil"/>
          <w:left w:val="nil"/>
          <w:bottom w:val="nil"/>
          <w:right w:val="nil"/>
          <w:between w:val="nil"/>
        </w:pBdr>
        <w:ind w:left="426"/>
        <w:rPr>
          <w:color w:val="000000"/>
        </w:rPr>
      </w:pPr>
    </w:p>
    <w:p w:rsidR="00522688" w:rsidRDefault="004E4FBB">
      <w:pPr>
        <w:pBdr>
          <w:top w:val="nil"/>
          <w:left w:val="nil"/>
          <w:bottom w:val="nil"/>
          <w:right w:val="nil"/>
          <w:between w:val="nil"/>
        </w:pBdr>
        <w:ind w:left="426"/>
        <w:rPr>
          <w:color w:val="000000"/>
        </w:rPr>
      </w:pPr>
      <w:r>
        <w:rPr>
          <w:color w:val="000000"/>
        </w:rPr>
        <w:t xml:space="preserve">Donde: </w:t>
      </w:r>
    </w:p>
    <w:p w:rsidR="00522688" w:rsidRDefault="00522688">
      <w:pPr>
        <w:pBdr>
          <w:top w:val="nil"/>
          <w:left w:val="nil"/>
          <w:bottom w:val="nil"/>
          <w:right w:val="nil"/>
          <w:between w:val="nil"/>
        </w:pBdr>
        <w:ind w:left="426"/>
        <w:rPr>
          <w:color w:val="000000"/>
        </w:rPr>
      </w:pPr>
    </w:p>
    <w:p w:rsidR="00522688" w:rsidRDefault="004E4FBB">
      <w:pPr>
        <w:numPr>
          <w:ilvl w:val="1"/>
          <w:numId w:val="3"/>
        </w:numPr>
        <w:pBdr>
          <w:top w:val="nil"/>
          <w:left w:val="nil"/>
          <w:bottom w:val="nil"/>
          <w:right w:val="nil"/>
          <w:between w:val="nil"/>
        </w:pBdr>
        <w:ind w:left="709" w:hanging="283"/>
        <w:rPr>
          <w:color w:val="000000"/>
        </w:rPr>
      </w:pPr>
      <w:r>
        <w:rPr>
          <w:color w:val="000000"/>
        </w:rPr>
        <w:t>V</w:t>
      </w:r>
      <w:r>
        <w:rPr>
          <w:color w:val="000000"/>
          <w:vertAlign w:val="subscript"/>
        </w:rPr>
        <w:t>ME</w:t>
      </w:r>
      <w:r>
        <w:rPr>
          <w:color w:val="000000"/>
        </w:rPr>
        <w:t xml:space="preserve">: Es el valor promedio de los SMMLV válidos y que no fueron objeto de subsanación de la propuesta válida inmediatamente por debajo de la mediana.  </w:t>
      </w:r>
    </w:p>
    <w:p w:rsidR="00522688" w:rsidRDefault="004E4FBB">
      <w:pPr>
        <w:numPr>
          <w:ilvl w:val="1"/>
          <w:numId w:val="3"/>
        </w:numPr>
        <w:pBdr>
          <w:top w:val="nil"/>
          <w:left w:val="nil"/>
          <w:bottom w:val="nil"/>
          <w:right w:val="nil"/>
          <w:between w:val="nil"/>
        </w:pBdr>
        <w:ind w:left="709" w:hanging="283"/>
        <w:rPr>
          <w:color w:val="000000"/>
        </w:rPr>
      </w:pPr>
      <w:r>
        <w:rPr>
          <w:color w:val="000000"/>
        </w:rPr>
        <w:t xml:space="preserve">Vi: Es el valor del promedio de los contratos válidos aportados en SMMLV y que no fueron objeto de subsanación de la propuesta “i”. </w:t>
      </w:r>
    </w:p>
    <w:p w:rsidR="00522688" w:rsidRDefault="00522688">
      <w:pPr>
        <w:pBdr>
          <w:top w:val="nil"/>
          <w:left w:val="nil"/>
          <w:bottom w:val="nil"/>
          <w:right w:val="nil"/>
          <w:between w:val="nil"/>
        </w:pBdr>
        <w:ind w:left="426"/>
        <w:rPr>
          <w:color w:val="000000"/>
        </w:rPr>
      </w:pPr>
    </w:p>
    <w:p w:rsidR="00522688" w:rsidRDefault="004E4FBB">
      <w:pPr>
        <w:pBdr>
          <w:top w:val="nil"/>
          <w:left w:val="nil"/>
          <w:bottom w:val="nil"/>
          <w:right w:val="nil"/>
          <w:between w:val="nil"/>
        </w:pBdr>
        <w:ind w:left="426"/>
        <w:rPr>
          <w:color w:val="000000"/>
        </w:rPr>
      </w:pPr>
      <w:r>
        <w:rPr>
          <w:b/>
          <w:color w:val="000000"/>
        </w:rPr>
        <w:t xml:space="preserve">Nota: </w:t>
      </w:r>
      <w:r>
        <w:rPr>
          <w:color w:val="000000"/>
        </w:rPr>
        <w:t>Cuando el resultado de la fórmula anterior sea un número negativo, se asignará 0,0 puntos.</w:t>
      </w:r>
    </w:p>
    <w:p w:rsidR="00522688" w:rsidRDefault="00522688">
      <w:pPr>
        <w:pBdr>
          <w:top w:val="nil"/>
          <w:left w:val="nil"/>
          <w:bottom w:val="nil"/>
          <w:right w:val="nil"/>
          <w:between w:val="nil"/>
        </w:pBdr>
        <w:ind w:left="426"/>
        <w:rPr>
          <w:color w:val="000000"/>
        </w:rPr>
      </w:pPr>
    </w:p>
    <w:p w:rsidR="00522688" w:rsidRDefault="004E4FBB">
      <w:pPr>
        <w:numPr>
          <w:ilvl w:val="1"/>
          <w:numId w:val="46"/>
        </w:numPr>
        <w:pBdr>
          <w:top w:val="nil"/>
          <w:left w:val="nil"/>
          <w:bottom w:val="nil"/>
          <w:right w:val="nil"/>
          <w:between w:val="nil"/>
        </w:pBdr>
        <w:ind w:left="426" w:hanging="284"/>
        <w:rPr>
          <w:b/>
          <w:color w:val="000000"/>
        </w:rPr>
      </w:pPr>
      <w:r>
        <w:rPr>
          <w:b/>
          <w:color w:val="000000"/>
        </w:rPr>
        <w:t>Media Geométrica</w:t>
      </w:r>
    </w:p>
    <w:p w:rsidR="00522688" w:rsidRDefault="00522688">
      <w:pPr>
        <w:pBdr>
          <w:top w:val="nil"/>
          <w:left w:val="nil"/>
          <w:bottom w:val="nil"/>
          <w:right w:val="nil"/>
          <w:between w:val="nil"/>
        </w:pBdr>
        <w:ind w:left="426"/>
        <w:rPr>
          <w:color w:val="000000"/>
        </w:rPr>
      </w:pPr>
    </w:p>
    <w:p w:rsidR="00522688" w:rsidRDefault="004E4FBB">
      <w:r>
        <w:lastRenderedPageBreak/>
        <w:t>Para calcular la Media Geométrica se tomará el valor promedio de los SMMLV de los contratos válidos aportados de las propuestas hábiles y que no fueron objeto de subsanación para el factor de ponderación para la asignación del puntaje de conformidad con el</w:t>
      </w:r>
      <w:r>
        <w:t xml:space="preserve"> siguiente procedimiento:</w:t>
      </w:r>
    </w:p>
    <w:p w:rsidR="00522688" w:rsidRDefault="00522688">
      <w:pPr>
        <w:pBdr>
          <w:top w:val="nil"/>
          <w:left w:val="nil"/>
          <w:bottom w:val="nil"/>
          <w:right w:val="nil"/>
          <w:between w:val="nil"/>
        </w:pBdr>
        <w:ind w:left="426"/>
        <w:rPr>
          <w:color w:val="000000"/>
        </w:rPr>
      </w:pPr>
    </w:p>
    <w:p w:rsidR="00522688" w:rsidRDefault="004E4FBB">
      <w:pPr>
        <w:jc w:val="center"/>
        <w:rPr>
          <w:rFonts w:ascii="Cambria Math" w:eastAsia="Cambria Math" w:hAnsi="Cambria Math" w:cs="Cambria Math"/>
        </w:rPr>
      </w:pPr>
      <m:oMathPara>
        <m:oMath>
          <m:r>
            <w:rPr>
              <w:rFonts w:ascii="Cambria Math" w:eastAsia="Cambria Math" w:hAnsi="Cambria Math" w:cs="Cambria Math"/>
            </w:rPr>
            <m:t>MG</m:t>
          </m:r>
          <m:r>
            <w:rPr>
              <w:rFonts w:ascii="Cambria Math" w:eastAsia="Cambria Math" w:hAnsi="Cambria Math" w:cs="Cambria Math"/>
            </w:rPr>
            <m:t>=</m:t>
          </m:r>
          <m:rad>
            <m:radPr>
              <m:ctrlPr>
                <w:rPr>
                  <w:rFonts w:ascii="Cambria Math" w:eastAsia="Cambria Math" w:hAnsi="Cambria Math" w:cs="Cambria Math"/>
                </w:rPr>
              </m:ctrlPr>
            </m:radPr>
            <m:deg>
              <m:r>
                <w:rPr>
                  <w:rFonts w:ascii="Cambria Math" w:eastAsia="Cambria Math" w:hAnsi="Cambria Math" w:cs="Cambria Math"/>
                </w:rPr>
                <m:t>n</m:t>
              </m:r>
            </m:deg>
            <m:e>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3</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n</m:t>
                  </m:r>
                </m:sub>
              </m:sSub>
            </m:e>
          </m:rad>
        </m:oMath>
      </m:oMathPara>
    </w:p>
    <w:p w:rsidR="00522688" w:rsidRDefault="00522688"/>
    <w:p w:rsidR="00522688" w:rsidRDefault="004E4FBB">
      <w:r>
        <w:t xml:space="preserve">Donde: </w:t>
      </w:r>
    </w:p>
    <w:p w:rsidR="00522688" w:rsidRDefault="00522688"/>
    <w:p w:rsidR="00522688" w:rsidRDefault="004E4FBB">
      <w:pPr>
        <w:numPr>
          <w:ilvl w:val="1"/>
          <w:numId w:val="3"/>
        </w:numPr>
        <w:pBdr>
          <w:top w:val="nil"/>
          <w:left w:val="nil"/>
          <w:bottom w:val="nil"/>
          <w:right w:val="nil"/>
          <w:between w:val="nil"/>
        </w:pBdr>
        <w:ind w:left="709" w:hanging="283"/>
        <w:rPr>
          <w:color w:val="000000"/>
        </w:rPr>
      </w:pPr>
      <w:r>
        <w:rPr>
          <w:color w:val="000000"/>
        </w:rPr>
        <w:t xml:space="preserve">MG: Es la media geométrica del promedio de los SMMLV de los contratos válidos y que no fueron objeto de subsanación de las propuestas hábiles. </w:t>
      </w:r>
    </w:p>
    <w:p w:rsidR="00522688" w:rsidRDefault="004E4FBB">
      <w:pPr>
        <w:numPr>
          <w:ilvl w:val="1"/>
          <w:numId w:val="3"/>
        </w:numPr>
        <w:pBdr>
          <w:top w:val="nil"/>
          <w:left w:val="nil"/>
          <w:bottom w:val="nil"/>
          <w:right w:val="nil"/>
          <w:between w:val="nil"/>
        </w:pBdr>
        <w:ind w:left="709" w:hanging="283"/>
        <w:rPr>
          <w:color w:val="000000"/>
        </w:rPr>
      </w:pPr>
      <w:r>
        <w:rPr>
          <w:color w:val="000000"/>
        </w:rPr>
        <w:t>V</w:t>
      </w:r>
      <w:r>
        <w:rPr>
          <w:color w:val="000000"/>
          <w:vertAlign w:val="subscript"/>
        </w:rPr>
        <w:t>1</w:t>
      </w:r>
      <w:r>
        <w:rPr>
          <w:color w:val="000000"/>
        </w:rPr>
        <w:t>: Es el valor promedio de los SMMLV válidos de una propuesta habilitada y que no fueron objeto de subsanación.</w:t>
      </w:r>
    </w:p>
    <w:p w:rsidR="00522688" w:rsidRDefault="004E4FBB">
      <w:pPr>
        <w:numPr>
          <w:ilvl w:val="1"/>
          <w:numId w:val="3"/>
        </w:numPr>
        <w:pBdr>
          <w:top w:val="nil"/>
          <w:left w:val="nil"/>
          <w:bottom w:val="nil"/>
          <w:right w:val="nil"/>
          <w:between w:val="nil"/>
        </w:pBdr>
        <w:ind w:left="709" w:hanging="283"/>
        <w:rPr>
          <w:color w:val="000000"/>
        </w:rPr>
      </w:pPr>
      <w:r>
        <w:rPr>
          <w:color w:val="000000"/>
        </w:rPr>
        <w:t>V</w:t>
      </w:r>
      <w:r>
        <w:rPr>
          <w:color w:val="000000"/>
          <w:vertAlign w:val="subscript"/>
        </w:rPr>
        <w:t>n</w:t>
      </w:r>
      <w:r>
        <w:rPr>
          <w:color w:val="000000"/>
        </w:rPr>
        <w:t xml:space="preserve">: Es el valor promedio de los SMMLV válidos de la propuesta “n” habilitada y que no fueron objeto de subsanación. </w:t>
      </w:r>
    </w:p>
    <w:p w:rsidR="00522688" w:rsidRDefault="004E4FBB">
      <w:pPr>
        <w:numPr>
          <w:ilvl w:val="1"/>
          <w:numId w:val="3"/>
        </w:numPr>
        <w:pBdr>
          <w:top w:val="nil"/>
          <w:left w:val="nil"/>
          <w:bottom w:val="nil"/>
          <w:right w:val="nil"/>
          <w:between w:val="nil"/>
        </w:pBdr>
        <w:ind w:left="709" w:hanging="283"/>
        <w:rPr>
          <w:color w:val="000000"/>
        </w:rPr>
      </w:pPr>
      <w:r>
        <w:rPr>
          <w:color w:val="000000"/>
        </w:rPr>
        <w:t>n: La cantidad total de prop</w:t>
      </w:r>
      <w:r>
        <w:rPr>
          <w:color w:val="000000"/>
        </w:rPr>
        <w:t xml:space="preserve">uestas habilitadas. </w:t>
      </w:r>
    </w:p>
    <w:p w:rsidR="00522688" w:rsidRDefault="00522688"/>
    <w:p w:rsidR="00522688" w:rsidRDefault="004E4FBB">
      <w:r>
        <w:t>Para efectos de la asignación de puntaje se tendrá en cuenta lo siguiente: se asignará el máximo puntaje al promedio de los SMMLV válidos y que no fueron objeto de subsanación de la propuesta que se encuentre más cerca (por exceso o p</w:t>
      </w:r>
      <w:r>
        <w:t>or defecto) al valor de la media geométrica calculada para el factor correspondiente.</w:t>
      </w:r>
    </w:p>
    <w:p w:rsidR="00522688" w:rsidRDefault="00522688"/>
    <w:p w:rsidR="00522688" w:rsidRDefault="004E4FBB">
      <w:r>
        <w:t>Las demás propuestas recibirán puntaje de acuerdo con la siguiente ecuación:</w:t>
      </w:r>
    </w:p>
    <w:p w:rsidR="00522688" w:rsidRDefault="00522688"/>
    <w:p w:rsidR="00522688" w:rsidRDefault="004E4FBB">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Puntaje</m:t>
              </m:r>
            </m:e>
            <m:sub>
              <m:r>
                <w:rPr>
                  <w:rFonts w:ascii="Cambria Math" w:eastAsia="Cambria Math" w:hAnsi="Cambria Math" w:cs="Cambria Math"/>
                </w:rPr>
                <m:t>Asignar</m:t>
              </m:r>
            </m:sub>
          </m:sSub>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MG</m:t>
                          </m: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e>
                      </m:d>
                    </m:num>
                    <m:den>
                      <m:r>
                        <w:rPr>
                          <w:rFonts w:ascii="Cambria Math" w:eastAsia="Cambria Math" w:hAnsi="Cambria Math" w:cs="Cambria Math"/>
                        </w:rPr>
                        <m:t>MG</m:t>
                      </m:r>
                    </m:den>
                  </m:f>
                </m:e>
              </m:d>
            </m:e>
          </m:d>
          <m:r>
            <w:rPr>
              <w:rFonts w:ascii="Cambria Math" w:eastAsia="Cambria Math" w:hAnsi="Cambria Math" w:cs="Cambria Math"/>
            </w:rPr>
            <m:t>*</m:t>
          </m:r>
          <m:r>
            <w:rPr>
              <w:rFonts w:ascii="Cambria Math" w:eastAsia="Cambria Math" w:hAnsi="Cambria Math" w:cs="Cambria Math"/>
            </w:rPr>
            <m:t>Puntaje</m:t>
          </m:r>
          <m:r>
            <w:rPr>
              <w:rFonts w:ascii="Cambria Math" w:eastAsia="Cambria Math" w:hAnsi="Cambria Math" w:cs="Cambria Math"/>
            </w:rPr>
            <m:t xml:space="preserve"> </m:t>
          </m:r>
          <m:r>
            <w:rPr>
              <w:rFonts w:ascii="Cambria Math" w:eastAsia="Cambria Math" w:hAnsi="Cambria Math" w:cs="Cambria Math"/>
            </w:rPr>
            <m:t>m</m:t>
          </m:r>
          <m:r>
            <w:rPr>
              <w:rFonts w:ascii="Cambria Math" w:eastAsia="Cambria Math" w:hAnsi="Cambria Math" w:cs="Cambria Math"/>
            </w:rPr>
            <m:t>á</m:t>
          </m:r>
          <m:r>
            <w:rPr>
              <w:rFonts w:ascii="Cambria Math" w:eastAsia="Cambria Math" w:hAnsi="Cambria Math" w:cs="Cambria Math"/>
            </w:rPr>
            <m:t>ximo</m:t>
          </m:r>
        </m:oMath>
      </m:oMathPara>
    </w:p>
    <w:p w:rsidR="00522688" w:rsidRDefault="00522688"/>
    <w:p w:rsidR="00522688" w:rsidRDefault="004E4FBB">
      <w:r>
        <w:rPr>
          <w:b/>
        </w:rPr>
        <w:t>Nota:</w:t>
      </w:r>
      <w:r>
        <w:t xml:space="preserve"> Cuando el r</w:t>
      </w:r>
      <w:r>
        <w:t>esultado de la fórmula anterior sea un número negativo, se asignará 0,0 puntos.</w:t>
      </w:r>
    </w:p>
    <w:p w:rsidR="00522688" w:rsidRDefault="00522688"/>
    <w:p w:rsidR="00522688" w:rsidRDefault="004E4FBB">
      <w:pPr>
        <w:numPr>
          <w:ilvl w:val="1"/>
          <w:numId w:val="46"/>
        </w:numPr>
        <w:pBdr>
          <w:top w:val="nil"/>
          <w:left w:val="nil"/>
          <w:bottom w:val="nil"/>
          <w:right w:val="nil"/>
          <w:between w:val="nil"/>
        </w:pBdr>
        <w:ind w:left="426" w:hanging="284"/>
        <w:rPr>
          <w:b/>
          <w:color w:val="000000"/>
        </w:rPr>
      </w:pPr>
      <w:r>
        <w:rPr>
          <w:b/>
          <w:color w:val="000000"/>
        </w:rPr>
        <w:t>Media Aritmética Alta</w:t>
      </w:r>
    </w:p>
    <w:p w:rsidR="00522688" w:rsidRDefault="00522688"/>
    <w:p w:rsidR="00522688" w:rsidRDefault="004E4FBB">
      <w:r>
        <w:t>Consiste en la determinación de la media aritmética entre el valor de los promedios de los contratos válidos aportados y que no fueron objeto de subsanación expresado en SMMLV de la propuesta válida más alta y el promedio aritmético del promedio de los con</w:t>
      </w:r>
      <w:r>
        <w:t>tratos válidos y que no fueron objeto de subsanación de las propuestas hábiles que no han sido rechazadas y se encuentran válidas, para esto se aplicará la siguiente fórmula:</w:t>
      </w:r>
    </w:p>
    <w:p w:rsidR="00522688" w:rsidRDefault="00522688"/>
    <w:p w:rsidR="00522688" w:rsidRDefault="004E4FBB">
      <w:pPr>
        <w:jc w:val="center"/>
        <w:rPr>
          <w:rFonts w:ascii="Cambria Math" w:eastAsia="Cambria Math" w:hAnsi="Cambria Math" w:cs="Cambria Math"/>
        </w:rPr>
      </w:pPr>
      <m:oMathPara>
        <m:oMath>
          <m:bar>
            <m:barPr>
              <m:ctrlPr>
                <w:rPr>
                  <w:rFonts w:ascii="Cambria Math" w:hAnsi="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r>
            <w:rPr>
              <w:rFonts w:ascii="Cambria Math" w:eastAsia="Cambria Math" w:hAnsi="Cambria Math" w:cs="Cambria Math"/>
            </w:rPr>
            <m:t>=</m:t>
          </m:r>
          <m:f>
            <m:fPr>
              <m:ctrlPr>
                <w:rPr>
                  <w:rFonts w:ascii="Cambria Math" w:eastAsia="Cambria Math" w:hAnsi="Cambria Math" w:cs="Cambria Math"/>
                </w:rPr>
              </m:ctrlPr>
            </m:fPr>
            <m:num>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max</m:t>
                      </m:r>
                    </m:sub>
                  </m:sSub>
                  <m:r>
                    <w:rPr>
                      <w:rFonts w:ascii="Cambria Math" w:eastAsia="Cambria Math" w:hAnsi="Cambria Math" w:cs="Cambria Math"/>
                    </w:rPr>
                    <m:t>+</m:t>
                  </m:r>
                  <m:bar>
                    <m:barPr>
                      <m:ctrlPr>
                        <w:rPr>
                          <w:rFonts w:ascii="Cambria Math" w:eastAsia="Cambria Math" w:hAnsi="Cambria Math" w:cs="Cambria Math"/>
                        </w:rPr>
                      </m:ctrlPr>
                    </m:barPr>
                    <m:e>
                      <m:r>
                        <w:rPr>
                          <w:rFonts w:ascii="Cambria Math" w:eastAsia="Cambria Math" w:hAnsi="Cambria Math" w:cs="Cambria Math"/>
                        </w:rPr>
                        <m:t>X</m:t>
                      </m:r>
                    </m:e>
                  </m:bar>
                </m:e>
              </m:d>
            </m:num>
            <m:den>
              <m:r>
                <w:rPr>
                  <w:rFonts w:ascii="Cambria Math" w:eastAsia="Cambria Math" w:hAnsi="Cambria Math" w:cs="Cambria Math"/>
                </w:rPr>
                <m:t>2</m:t>
              </m:r>
            </m:den>
          </m:f>
        </m:oMath>
      </m:oMathPara>
    </w:p>
    <w:p w:rsidR="00522688" w:rsidRDefault="00522688"/>
    <w:p w:rsidR="00522688" w:rsidRDefault="004E4FBB">
      <w:r>
        <w:t xml:space="preserve">Donde: </w:t>
      </w:r>
    </w:p>
    <w:p w:rsidR="00522688" w:rsidRDefault="004E4FBB">
      <w:pPr>
        <w:numPr>
          <w:ilvl w:val="1"/>
          <w:numId w:val="3"/>
        </w:numPr>
        <w:pBdr>
          <w:top w:val="nil"/>
          <w:left w:val="nil"/>
          <w:bottom w:val="nil"/>
          <w:right w:val="nil"/>
          <w:between w:val="nil"/>
        </w:pBdr>
        <w:ind w:left="709" w:hanging="283"/>
        <w:rPr>
          <w:color w:val="000000"/>
        </w:rPr>
      </w:pPr>
      <m:oMath>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max</m:t>
            </m:r>
          </m:sub>
        </m:sSub>
        <m:r>
          <w:rPr>
            <w:rFonts w:ascii="Cambria Math" w:eastAsia="Cambria Math" w:hAnsi="Cambria Math" w:cs="Cambria Math"/>
            <w:color w:val="000000"/>
          </w:rPr>
          <m:t>:</m:t>
        </m:r>
      </m:oMath>
      <w:r>
        <w:rPr>
          <w:color w:val="000000"/>
        </w:rPr>
        <w:t xml:space="preserve"> Es el valor total corregido del promedio de</w:t>
      </w:r>
      <w:r>
        <w:rPr>
          <w:color w:val="000000"/>
        </w:rPr>
        <w:t xml:space="preserve"> los SMMLV válidos más alto y que no fueron objeto de subsanación.</w:t>
      </w:r>
    </w:p>
    <w:p w:rsidR="00522688" w:rsidRDefault="004E4FBB">
      <w:pPr>
        <w:numPr>
          <w:ilvl w:val="1"/>
          <w:numId w:val="3"/>
        </w:numPr>
        <w:pBdr>
          <w:top w:val="nil"/>
          <w:left w:val="nil"/>
          <w:bottom w:val="nil"/>
          <w:right w:val="nil"/>
          <w:between w:val="nil"/>
        </w:pBdr>
        <w:ind w:left="709" w:hanging="283"/>
        <w:rPr>
          <w:color w:val="000000"/>
        </w:rPr>
      </w:pPr>
      <m:oMath>
        <m:bar>
          <m:barPr>
            <m:ctrlPr>
              <w:rPr>
                <w:rFonts w:ascii="Cambria Math" w:eastAsia="Cambria Math" w:hAnsi="Cambria Math" w:cs="Cambria Math"/>
                <w:color w:val="000000"/>
              </w:rPr>
            </m:ctrlPr>
          </m:barPr>
          <m:e>
            <m:r>
              <w:rPr>
                <w:rFonts w:ascii="Cambria Math" w:eastAsia="Cambria Math" w:hAnsi="Cambria Math" w:cs="Cambria Math"/>
                <w:color w:val="000000"/>
              </w:rPr>
              <m:t>X</m:t>
            </m:r>
          </m:e>
        </m:bar>
        <m:r>
          <w:rPr>
            <w:rFonts w:ascii="Cambria Math" w:eastAsia="Cambria Math" w:hAnsi="Cambria Math" w:cs="Cambria Math"/>
            <w:color w:val="000000"/>
          </w:rPr>
          <m:t>:</m:t>
        </m:r>
      </m:oMath>
      <w:r>
        <w:rPr>
          <w:color w:val="000000"/>
        </w:rPr>
        <w:t xml:space="preserve"> Es el promedio aritmético simple de los promedios de los SMMLV de los contratos válidos de las otras propuestas habilitadas y que no fueron objeto de subsanación.</w:t>
      </w:r>
    </w:p>
    <w:p w:rsidR="00522688" w:rsidRDefault="004E4FBB">
      <w:pPr>
        <w:numPr>
          <w:ilvl w:val="1"/>
          <w:numId w:val="3"/>
        </w:numPr>
        <w:pBdr>
          <w:top w:val="nil"/>
          <w:left w:val="nil"/>
          <w:bottom w:val="nil"/>
          <w:right w:val="nil"/>
          <w:between w:val="nil"/>
        </w:pBdr>
        <w:ind w:left="709" w:hanging="283"/>
        <w:rPr>
          <w:color w:val="000000"/>
        </w:rPr>
      </w:pPr>
      <m:oMath>
        <m:bar>
          <m:barPr>
            <m:ctrlPr>
              <w:rPr>
                <w:rFonts w:ascii="Cambria Math" w:hAnsi="Cambria Math"/>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A</m:t>
                </m:r>
              </m:sub>
            </m:sSub>
          </m:e>
        </m:bar>
        <m:r>
          <w:rPr>
            <w:rFonts w:ascii="Cambria Math" w:eastAsia="Cambria Math" w:hAnsi="Cambria Math" w:cs="Cambria Math"/>
            <w:color w:val="000000"/>
          </w:rPr>
          <m:t>:</m:t>
        </m:r>
      </m:oMath>
      <w:r>
        <w:rPr>
          <w:color w:val="000000"/>
        </w:rPr>
        <w:t xml:space="preserve"> Es la media arit</w:t>
      </w:r>
      <w:r>
        <w:rPr>
          <w:color w:val="000000"/>
        </w:rPr>
        <w:t>mética alta.</w:t>
      </w:r>
    </w:p>
    <w:p w:rsidR="00522688" w:rsidRDefault="00522688"/>
    <w:p w:rsidR="00522688" w:rsidRDefault="004E4FBB">
      <w:r>
        <w:t>Obtenida la media aritmética alta se procederá a ponderar las propuestas habilitadas de acuerdo con la siguiente fórmula:</w:t>
      </w:r>
    </w:p>
    <w:p w:rsidR="00522688" w:rsidRDefault="00522688"/>
    <w:bookmarkStart w:id="55" w:name="_heading=h.206ipza" w:colFirst="0" w:colLast="0"/>
    <w:bookmarkEnd w:id="55"/>
    <w:p w:rsidR="00522688" w:rsidRDefault="004E4FBB">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Puntaje</m:t>
              </m:r>
            </m:e>
            <m:sub>
              <m:r>
                <w:rPr>
                  <w:rFonts w:ascii="Cambria Math" w:eastAsia="Cambria Math" w:hAnsi="Cambria Math" w:cs="Cambria Math"/>
                </w:rPr>
                <m:t>asignar</m:t>
              </m:r>
            </m:sub>
          </m:sSub>
          <m:r>
            <w:rPr>
              <w:rFonts w:ascii="Cambria Math" w:eastAsia="Cambria Math" w:hAnsi="Cambria Math" w:cs="Cambria Math"/>
            </w:rPr>
            <m:t>=</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Puntaje</m:t>
                  </m:r>
                  <m:r>
                    <w:rPr>
                      <w:rFonts w:ascii="Cambria Math" w:eastAsia="Cambria Math" w:hAnsi="Cambria Math" w:cs="Cambria Math"/>
                    </w:rPr>
                    <m:t xml:space="preserve"> </m:t>
                  </m:r>
                  <m:r>
                    <w:rPr>
                      <w:rFonts w:ascii="Cambria Math" w:eastAsia="Cambria Math" w:hAnsi="Cambria Math" w:cs="Cambria Math"/>
                    </w:rPr>
                    <m:t>m</m:t>
                  </m:r>
                  <m:r>
                    <w:rPr>
                      <w:rFonts w:ascii="Cambria Math" w:eastAsia="Cambria Math" w:hAnsi="Cambria Math" w:cs="Cambria Math"/>
                    </w:rPr>
                    <m:t>á</m:t>
                  </m:r>
                  <m:r>
                    <w:rPr>
                      <w:rFonts w:ascii="Cambria Math" w:eastAsia="Cambria Math" w:hAnsi="Cambria Math" w:cs="Cambria Math"/>
                    </w:rPr>
                    <m:t>ximo</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den>
                          </m:f>
                        </m:e>
                      </m:d>
                    </m:e>
                  </m:d>
                  <m:r>
                    <w:rPr>
                      <w:rFonts w:ascii="Cambria Math" w:eastAsia="Cambria Math" w:hAnsi="Cambria Math" w:cs="Cambria Math"/>
                    </w:rPr>
                    <m:t xml:space="preserve"> </m:t>
                  </m:r>
                  <m:r>
                    <w:rPr>
                      <w:rFonts w:ascii="Cambria Math" w:eastAsia="Cambria Math" w:hAnsi="Cambria Math" w:cs="Cambria Math"/>
                    </w:rPr>
                    <m:t>Para</m:t>
                  </m:r>
                  <m:r>
                    <w:rPr>
                      <w:rFonts w:ascii="Cambria Math" w:eastAsia="Cambria Math" w:hAnsi="Cambria Math" w:cs="Cambria Math"/>
                    </w:rPr>
                    <m:t xml:space="preserve"> </m:t>
                  </m:r>
                  <m:r>
                    <w:rPr>
                      <w:rFonts w:ascii="Cambria Math" w:eastAsia="Cambria Math" w:hAnsi="Cambria Math" w:cs="Cambria Math"/>
                    </w:rPr>
                    <m:t>valores</m:t>
                  </m:r>
                  <m:r>
                    <w:rPr>
                      <w:rFonts w:ascii="Cambria Math" w:eastAsia="Cambria Math" w:hAnsi="Cambria Math" w:cs="Cambria Math"/>
                    </w:rPr>
                    <m:t xml:space="preserve"> </m:t>
                  </m:r>
                  <m:r>
                    <w:rPr>
                      <w:rFonts w:ascii="Cambria Math" w:eastAsia="Cambria Math" w:hAnsi="Cambria Math" w:cs="Cambria Math"/>
                    </w:rPr>
                    <m:t>menores</m:t>
                  </m:r>
                  <m:r>
                    <w:rPr>
                      <w:rFonts w:ascii="Cambria Math" w:eastAsia="Cambria Math" w:hAnsi="Cambria Math" w:cs="Cambria Math"/>
                    </w:rPr>
                    <m:t xml:space="preserve"> </m:t>
                  </m:r>
                  <m:r>
                    <w:rPr>
                      <w:rFonts w:ascii="Cambria Math" w:eastAsia="Cambria Math" w:hAnsi="Cambria Math" w:cs="Cambria Math"/>
                    </w:rPr>
                    <m:t>o</m:t>
                  </m:r>
                  <m:r>
                    <w:rPr>
                      <w:rFonts w:ascii="Cambria Math" w:eastAsia="Cambria Math" w:hAnsi="Cambria Math" w:cs="Cambria Math"/>
                    </w:rPr>
                    <m:t xml:space="preserve"> </m:t>
                  </m:r>
                  <m:r>
                    <w:rPr>
                      <w:rFonts w:ascii="Cambria Math" w:eastAsia="Cambria Math" w:hAnsi="Cambria Math" w:cs="Cambria Math"/>
                    </w:rPr>
                    <m:t>ig</m:t>
                  </m:r>
                  <m:r>
                    <w:rPr>
                      <w:rFonts w:ascii="Cambria Math" w:eastAsia="Cambria Math" w:hAnsi="Cambria Math" w:cs="Cambria Math"/>
                    </w:rPr>
                    <m:t>u</m:t>
                  </m:r>
                  <m:r>
                    <w:rPr>
                      <w:rFonts w:ascii="Cambria Math" w:eastAsia="Cambria Math" w:hAnsi="Cambria Math" w:cs="Cambria Math"/>
                    </w:rPr>
                    <m:t>ales</m:t>
                  </m:r>
                  <m:r>
                    <w:rPr>
                      <w:rFonts w:ascii="Cambria Math" w:eastAsia="Cambria Math" w:hAnsi="Cambria Math" w:cs="Cambria Math"/>
                    </w:rPr>
                    <m:t xml:space="preserve"> </m:t>
                  </m:r>
                  <m:r>
                    <w:rPr>
                      <w:rFonts w:ascii="Cambria Math" w:eastAsia="Cambria Math" w:hAnsi="Cambria Math" w:cs="Cambria Math"/>
                    </w:rPr>
                    <m:t>a</m:t>
                  </m:r>
                  <m:r>
                    <w:rPr>
                      <w:rFonts w:ascii="Cambria Math" w:eastAsia="Cambria Math" w:hAnsi="Cambria Math" w:cs="Cambria Math"/>
                    </w:rPr>
                    <m:t xml:space="preserve">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num>
                <m:den>
                  <m:r>
                    <w:rPr>
                      <w:rFonts w:ascii="Cambria Math" w:eastAsia="Cambria Math" w:hAnsi="Cambria Math" w:cs="Cambria Math"/>
                    </w:rPr>
                    <m:t>Puntaje</m:t>
                  </m:r>
                  <m:r>
                    <w:rPr>
                      <w:rFonts w:ascii="Cambria Math" w:eastAsia="Cambria Math" w:hAnsi="Cambria Math" w:cs="Cambria Math"/>
                    </w:rPr>
                    <m:t xml:space="preserve"> </m:t>
                  </m:r>
                  <m:r>
                    <w:rPr>
                      <w:rFonts w:ascii="Cambria Math" w:eastAsia="Cambria Math" w:hAnsi="Cambria Math" w:cs="Cambria Math"/>
                    </w:rPr>
                    <m:t>m</m:t>
                  </m:r>
                  <m:r>
                    <w:rPr>
                      <w:rFonts w:ascii="Cambria Math" w:eastAsia="Cambria Math" w:hAnsi="Cambria Math" w:cs="Cambria Math"/>
                    </w:rPr>
                    <m:t>á</m:t>
                  </m:r>
                  <m:r>
                    <w:rPr>
                      <w:rFonts w:ascii="Cambria Math" w:eastAsia="Cambria Math" w:hAnsi="Cambria Math" w:cs="Cambria Math"/>
                    </w:rPr>
                    <m:t>ximo</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1-2*</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 xml:space="preserve">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r>
                                    <w:rPr>
                                      <w:rFonts w:ascii="Cambria Math" w:eastAsia="Cambria Math" w:hAnsi="Cambria Math" w:cs="Cambria Math"/>
                                    </w:rPr>
                                    <m:t xml:space="preserve"> </m:t>
                                  </m:r>
                                </m:e>
                              </m:d>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den>
                          </m:f>
                        </m:e>
                      </m:d>
                    </m:e>
                  </m:d>
                  <m:r>
                    <w:rPr>
                      <w:rFonts w:ascii="Cambria Math" w:eastAsia="Cambria Math" w:hAnsi="Cambria Math" w:cs="Cambria Math"/>
                    </w:rPr>
                    <m:t xml:space="preserve"> </m:t>
                  </m:r>
                  <m:r>
                    <w:rPr>
                      <w:rFonts w:ascii="Cambria Math" w:eastAsia="Cambria Math" w:hAnsi="Cambria Math" w:cs="Cambria Math"/>
                    </w:rPr>
                    <m:t>Para</m:t>
                  </m:r>
                  <m:r>
                    <w:rPr>
                      <w:rFonts w:ascii="Cambria Math" w:eastAsia="Cambria Math" w:hAnsi="Cambria Math" w:cs="Cambria Math"/>
                    </w:rPr>
                    <m:t xml:space="preserve"> </m:t>
                  </m:r>
                  <m:r>
                    <w:rPr>
                      <w:rFonts w:ascii="Cambria Math" w:eastAsia="Cambria Math" w:hAnsi="Cambria Math" w:cs="Cambria Math"/>
                    </w:rPr>
                    <m:t>valores</m:t>
                  </m:r>
                  <m:r>
                    <w:rPr>
                      <w:rFonts w:ascii="Cambria Math" w:eastAsia="Cambria Math" w:hAnsi="Cambria Math" w:cs="Cambria Math"/>
                    </w:rPr>
                    <m:t xml:space="preserve"> </m:t>
                  </m:r>
                  <m:r>
                    <w:rPr>
                      <w:rFonts w:ascii="Cambria Math" w:eastAsia="Cambria Math" w:hAnsi="Cambria Math" w:cs="Cambria Math"/>
                    </w:rPr>
                    <m:t>mayores</m:t>
                  </m:r>
                  <m:r>
                    <w:rPr>
                      <w:rFonts w:ascii="Cambria Math" w:eastAsia="Cambria Math" w:hAnsi="Cambria Math" w:cs="Cambria Math"/>
                    </w:rPr>
                    <m:t xml:space="preserve"> </m:t>
                  </m:r>
                  <m:r>
                    <w:rPr>
                      <w:rFonts w:ascii="Cambria Math" w:eastAsia="Cambria Math" w:hAnsi="Cambria Math" w:cs="Cambria Math"/>
                    </w:rPr>
                    <m:t>a</m:t>
                  </m:r>
                  <m:r>
                    <w:rPr>
                      <w:rFonts w:ascii="Cambria Math" w:eastAsia="Cambria Math" w:hAnsi="Cambria Math" w:cs="Cambria Math"/>
                    </w:rPr>
                    <m:t xml:space="preserve">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A</m:t>
                          </m:r>
                        </m:sub>
                      </m:sSub>
                    </m:e>
                  </m:bar>
                </m:den>
              </m:f>
            </m:e>
          </m:d>
        </m:oMath>
      </m:oMathPara>
    </w:p>
    <w:p w:rsidR="00522688" w:rsidRDefault="00522688"/>
    <w:p w:rsidR="00522688" w:rsidRDefault="004E4FBB">
      <w:r>
        <w:t xml:space="preserve">Donde: </w:t>
      </w:r>
    </w:p>
    <w:p w:rsidR="00522688" w:rsidRDefault="004E4FBB">
      <w:pPr>
        <w:numPr>
          <w:ilvl w:val="1"/>
          <w:numId w:val="3"/>
        </w:numPr>
        <w:pBdr>
          <w:top w:val="nil"/>
          <w:left w:val="nil"/>
          <w:bottom w:val="nil"/>
          <w:right w:val="nil"/>
          <w:between w:val="nil"/>
        </w:pBdr>
        <w:ind w:left="709" w:hanging="283"/>
        <w:rPr>
          <w:color w:val="000000"/>
        </w:rPr>
      </w:pPr>
      <m:oMath>
        <m:bar>
          <m:barPr>
            <m:ctrlPr>
              <w:rPr>
                <w:rFonts w:ascii="Cambria Math" w:hAnsi="Cambria Math"/>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A</m:t>
                </m:r>
              </m:sub>
            </m:sSub>
          </m:e>
        </m:bar>
        <m:r>
          <w:rPr>
            <w:rFonts w:ascii="Cambria Math" w:eastAsia="Cambria Math" w:hAnsi="Cambria Math" w:cs="Cambria Math"/>
            <w:color w:val="000000"/>
          </w:rPr>
          <m:t>:</m:t>
        </m:r>
      </m:oMath>
      <w:r>
        <w:rPr>
          <w:color w:val="000000"/>
        </w:rPr>
        <w:t xml:space="preserve"> Es la media aritmética alta.</w:t>
      </w:r>
    </w:p>
    <w:p w:rsidR="00522688" w:rsidRDefault="004E4FBB">
      <w:pPr>
        <w:numPr>
          <w:ilvl w:val="1"/>
          <w:numId w:val="3"/>
        </w:numPr>
        <w:pBdr>
          <w:top w:val="nil"/>
          <w:left w:val="nil"/>
          <w:bottom w:val="nil"/>
          <w:right w:val="nil"/>
          <w:between w:val="nil"/>
        </w:pBdr>
        <w:ind w:left="709" w:hanging="283"/>
        <w:rPr>
          <w:color w:val="000000"/>
        </w:rPr>
      </w:pPr>
      <m:oMath>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r>
          <w:rPr>
            <w:rFonts w:ascii="Cambria Math" w:eastAsia="Cambria Math" w:hAnsi="Cambria Math" w:cs="Cambria Math"/>
            <w:color w:val="000000"/>
          </w:rPr>
          <m:t>:</m:t>
        </m:r>
      </m:oMath>
      <w:r>
        <w:rPr>
          <w:color w:val="000000"/>
        </w:rPr>
        <w:t xml:space="preserve"> Es el valor promedio de los SMMLV válidos y que no fueron objeto de subsanación de cada una de las propuestas “i”.</w:t>
      </w:r>
    </w:p>
    <w:p w:rsidR="00522688" w:rsidRDefault="00522688"/>
    <w:p w:rsidR="00522688" w:rsidRDefault="004E4FBB">
      <w:r>
        <w:rPr>
          <w:b/>
        </w:rPr>
        <w:t>Nota:</w:t>
      </w:r>
      <w:r>
        <w:t xml:space="preserve"> Cuando el resultado de la fórmula anterior sea un número negativo, se asignará 0,0 puntos.</w:t>
      </w:r>
    </w:p>
    <w:p w:rsidR="00522688" w:rsidRDefault="00522688"/>
    <w:p w:rsidR="00522688" w:rsidRDefault="004E4FBB">
      <w:pPr>
        <w:pStyle w:val="Ttulo2"/>
        <w:numPr>
          <w:ilvl w:val="1"/>
          <w:numId w:val="15"/>
        </w:numPr>
        <w:ind w:left="709" w:hanging="709"/>
      </w:pPr>
      <w:bookmarkStart w:id="56" w:name="_heading=h.4k668n3" w:colFirst="0" w:colLast="0"/>
      <w:bookmarkEnd w:id="56"/>
      <w:r>
        <w:t>EQUIPOS DE TRABAJO (Personal Clave Evalua</w:t>
      </w:r>
      <w:r>
        <w:t>ble)</w:t>
      </w:r>
    </w:p>
    <w:p w:rsidR="00522688" w:rsidRDefault="00522688"/>
    <w:p w:rsidR="00522688" w:rsidRDefault="004E4FBB">
      <w:r>
        <w:t>La asignación de puntaje relacionada con el “Equipo de trabajo (Personal Clave Evaluable)” se realizará de la siguiente manera:</w:t>
      </w:r>
    </w:p>
    <w:p w:rsidR="00522688" w:rsidRDefault="00522688"/>
    <w:tbl>
      <w:tblPr>
        <w:tblStyle w:val="aa"/>
        <w:tblW w:w="567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696"/>
      </w:tblGrid>
      <w:tr w:rsidR="00522688">
        <w:trPr>
          <w:trHeight w:val="283"/>
          <w:jc w:val="center"/>
        </w:trPr>
        <w:tc>
          <w:tcPr>
            <w:tcW w:w="3974" w:type="dxa"/>
            <w:shd w:val="clear" w:color="auto" w:fill="3B3838"/>
            <w:vAlign w:val="center"/>
          </w:tcPr>
          <w:p w:rsidR="00522688" w:rsidRDefault="004E4FBB">
            <w:pPr>
              <w:jc w:val="center"/>
              <w:rPr>
                <w:b/>
                <w:sz w:val="18"/>
                <w:szCs w:val="18"/>
              </w:rPr>
            </w:pPr>
            <w:r>
              <w:rPr>
                <w:b/>
                <w:sz w:val="18"/>
                <w:szCs w:val="18"/>
              </w:rPr>
              <w:t>Criterio de evaluación</w:t>
            </w:r>
          </w:p>
        </w:tc>
        <w:tc>
          <w:tcPr>
            <w:tcW w:w="1696" w:type="dxa"/>
            <w:shd w:val="clear" w:color="auto" w:fill="3B3838"/>
            <w:vAlign w:val="center"/>
          </w:tcPr>
          <w:p w:rsidR="00522688" w:rsidRDefault="004E4FBB">
            <w:pPr>
              <w:jc w:val="center"/>
              <w:rPr>
                <w:b/>
                <w:sz w:val="18"/>
                <w:szCs w:val="18"/>
              </w:rPr>
            </w:pPr>
            <w:r>
              <w:rPr>
                <w:b/>
                <w:sz w:val="18"/>
                <w:szCs w:val="18"/>
              </w:rPr>
              <w:t>Puntaje</w:t>
            </w:r>
          </w:p>
        </w:tc>
      </w:tr>
      <w:tr w:rsidR="00522688">
        <w:trPr>
          <w:trHeight w:val="283"/>
          <w:jc w:val="center"/>
        </w:trPr>
        <w:tc>
          <w:tcPr>
            <w:tcW w:w="3974" w:type="dxa"/>
            <w:vAlign w:val="center"/>
          </w:tcPr>
          <w:p w:rsidR="00522688" w:rsidRDefault="004E4FBB">
            <w:pPr>
              <w:jc w:val="center"/>
              <w:rPr>
                <w:sz w:val="18"/>
                <w:szCs w:val="18"/>
              </w:rPr>
            </w:pPr>
            <w:r>
              <w:rPr>
                <w:sz w:val="18"/>
                <w:szCs w:val="18"/>
              </w:rPr>
              <w:t>Experiencia adicional del Personal Clave Evaluable</w:t>
            </w:r>
          </w:p>
        </w:tc>
        <w:tc>
          <w:tcPr>
            <w:tcW w:w="1696" w:type="dxa"/>
            <w:vAlign w:val="center"/>
          </w:tcPr>
          <w:p w:rsidR="00522688" w:rsidRDefault="004E4FBB">
            <w:pPr>
              <w:jc w:val="center"/>
              <w:rPr>
                <w:sz w:val="18"/>
                <w:szCs w:val="18"/>
              </w:rPr>
            </w:pPr>
            <w:r>
              <w:rPr>
                <w:sz w:val="18"/>
                <w:szCs w:val="18"/>
              </w:rPr>
              <w:t>5</w:t>
            </w:r>
          </w:p>
        </w:tc>
      </w:tr>
      <w:tr w:rsidR="00522688">
        <w:trPr>
          <w:trHeight w:val="283"/>
          <w:jc w:val="center"/>
        </w:trPr>
        <w:tc>
          <w:tcPr>
            <w:tcW w:w="3974" w:type="dxa"/>
            <w:vAlign w:val="center"/>
          </w:tcPr>
          <w:p w:rsidR="00522688" w:rsidRDefault="004E4FBB">
            <w:pPr>
              <w:jc w:val="center"/>
              <w:rPr>
                <w:sz w:val="18"/>
                <w:szCs w:val="18"/>
              </w:rPr>
            </w:pPr>
            <w:r>
              <w:rPr>
                <w:sz w:val="18"/>
                <w:szCs w:val="18"/>
              </w:rPr>
              <w:t>Formación académica adicional del Personal Clave Evaluable</w:t>
            </w:r>
          </w:p>
        </w:tc>
        <w:tc>
          <w:tcPr>
            <w:tcW w:w="1696" w:type="dxa"/>
            <w:vAlign w:val="center"/>
          </w:tcPr>
          <w:p w:rsidR="00522688" w:rsidRDefault="004E4FBB">
            <w:pPr>
              <w:jc w:val="center"/>
              <w:rPr>
                <w:sz w:val="18"/>
                <w:szCs w:val="18"/>
              </w:rPr>
            </w:pPr>
            <w:r>
              <w:rPr>
                <w:sz w:val="18"/>
                <w:szCs w:val="18"/>
              </w:rPr>
              <w:t>5</w:t>
            </w:r>
          </w:p>
        </w:tc>
      </w:tr>
      <w:tr w:rsidR="00522688">
        <w:trPr>
          <w:trHeight w:val="283"/>
          <w:jc w:val="center"/>
        </w:trPr>
        <w:tc>
          <w:tcPr>
            <w:tcW w:w="3974" w:type="dxa"/>
            <w:vAlign w:val="center"/>
          </w:tcPr>
          <w:p w:rsidR="00522688" w:rsidRDefault="004E4FBB">
            <w:pPr>
              <w:jc w:val="center"/>
              <w:rPr>
                <w:b/>
                <w:sz w:val="18"/>
                <w:szCs w:val="18"/>
              </w:rPr>
            </w:pPr>
            <w:r>
              <w:rPr>
                <w:b/>
                <w:sz w:val="18"/>
                <w:szCs w:val="18"/>
              </w:rPr>
              <w:t>Total</w:t>
            </w:r>
          </w:p>
        </w:tc>
        <w:tc>
          <w:tcPr>
            <w:tcW w:w="1696" w:type="dxa"/>
            <w:vAlign w:val="center"/>
          </w:tcPr>
          <w:p w:rsidR="00522688" w:rsidRDefault="004E4FBB">
            <w:pPr>
              <w:jc w:val="center"/>
              <w:rPr>
                <w:sz w:val="18"/>
                <w:szCs w:val="18"/>
              </w:rPr>
            </w:pPr>
            <w:r>
              <w:rPr>
                <w:sz w:val="18"/>
                <w:szCs w:val="18"/>
              </w:rPr>
              <w:t>10</w:t>
            </w:r>
          </w:p>
        </w:tc>
      </w:tr>
    </w:tbl>
    <w:p w:rsidR="00522688" w:rsidRDefault="00522688"/>
    <w:p w:rsidR="00522688" w:rsidRDefault="004E4FBB">
      <w:pPr>
        <w:pStyle w:val="Ttulo3"/>
        <w:numPr>
          <w:ilvl w:val="2"/>
          <w:numId w:val="15"/>
        </w:numPr>
      </w:pPr>
      <w:bookmarkStart w:id="57" w:name="_heading=h.2zbgiuw" w:colFirst="0" w:colLast="0"/>
      <w:bookmarkEnd w:id="57"/>
      <w:r>
        <w:t xml:space="preserve">EXPERIENCIA ESPECÍFICA ADICIONAL </w:t>
      </w:r>
    </w:p>
    <w:p w:rsidR="00522688" w:rsidRDefault="00522688"/>
    <w:p w:rsidR="00522688" w:rsidRDefault="004E4FBB">
      <w:r>
        <w:t xml:space="preserve">La Entidad asignará cinco (5) puntos al Proponente que se comprometa con el diligenciamiento del “Formato 9 - Experiencia y formación académica adicional del Personal Clave Evaluable” a acreditar que </w:t>
      </w:r>
      <w:r>
        <w:rPr>
          <w:highlight w:val="lightGray"/>
        </w:rPr>
        <w:t>[cada uno de los integrantes que conforman el Personal C</w:t>
      </w:r>
      <w:r>
        <w:rPr>
          <w:highlight w:val="lightGray"/>
        </w:rPr>
        <w:t>lave Evaluable: i) el director de consultoría y/o ii) el coordinador de consultoría (en los casos que aplique) y/o iii) el especialista principal del proyecto]</w:t>
      </w:r>
      <w:r>
        <w:t xml:space="preserve"> tienen un año (1) de experiencia específica adicional a la definida en la “Matriz 4 – Lineamient</w:t>
      </w:r>
      <w:r>
        <w:t xml:space="preserve">os del Personal Clave Evaluable”. </w:t>
      </w:r>
      <w:r>
        <w:rPr>
          <w:highlight w:val="lightGray"/>
        </w:rPr>
        <w:t>[Es decir, si el requisito mínimo de experiencia específica es de 2 años, se otorgará puntaje por una experiencia adicional de 1 año, para un total de 3 años]</w:t>
      </w:r>
      <w:r>
        <w:t xml:space="preserve">. </w:t>
      </w:r>
    </w:p>
    <w:p w:rsidR="00522688" w:rsidRDefault="00522688"/>
    <w:p w:rsidR="00522688" w:rsidRDefault="004E4FBB">
      <w:r>
        <w:t xml:space="preserve">Para otorgar el puntaje basta con presentar el “Formato 9 - </w:t>
      </w:r>
      <w:r>
        <w:t xml:space="preserve">Experiencia y formación académica adicional del Personal Clave Evaluable”. Por tanto, </w:t>
      </w:r>
      <w:r>
        <w:rPr>
          <w:u w:val="single"/>
        </w:rPr>
        <w:t>no se revisarán los soportes de experiencia del Personal Clave Evaluable durante la evaluación de las ofertas</w:t>
      </w:r>
      <w:r>
        <w:t>. La verificación de los documentos relacionados con el Perso</w:t>
      </w:r>
      <w:r>
        <w:t>nal Clave Evaluable se hará de acuerdo con lo señalado en el numeral 9.1 “información para el control de la ejecución de la consultoría”.</w:t>
      </w:r>
    </w:p>
    <w:p w:rsidR="00522688" w:rsidRDefault="00522688"/>
    <w:p w:rsidR="00522688" w:rsidRDefault="004E4FBB">
      <w:pPr>
        <w:numPr>
          <w:ilvl w:val="2"/>
          <w:numId w:val="45"/>
        </w:numPr>
        <w:pBdr>
          <w:top w:val="nil"/>
          <w:left w:val="nil"/>
          <w:bottom w:val="nil"/>
          <w:right w:val="nil"/>
          <w:between w:val="nil"/>
        </w:pBdr>
        <w:ind w:left="426" w:hanging="426"/>
        <w:rPr>
          <w:color w:val="000000"/>
        </w:rPr>
      </w:pPr>
      <w:r>
        <w:rPr>
          <w:color w:val="000000"/>
        </w:rPr>
        <w:t>Se entiende por “Experiencia específica adicional” la experiencia directamente relacionada con el cargo a desempeñar.</w:t>
      </w:r>
    </w:p>
    <w:p w:rsidR="00522688" w:rsidRDefault="004E4FBB">
      <w:pPr>
        <w:numPr>
          <w:ilvl w:val="2"/>
          <w:numId w:val="45"/>
        </w:numPr>
        <w:pBdr>
          <w:top w:val="nil"/>
          <w:left w:val="nil"/>
          <w:bottom w:val="nil"/>
          <w:right w:val="nil"/>
          <w:between w:val="nil"/>
        </w:pBdr>
        <w:ind w:left="426" w:hanging="426"/>
        <w:rPr>
          <w:color w:val="000000"/>
        </w:rPr>
      </w:pPr>
      <w:r>
        <w:rPr>
          <w:color w:val="000000"/>
        </w:rPr>
        <w:t xml:space="preserve">La contabilización total de la experiencia se realizará en años. En caso de ser necesario se hará la conversión de meses o días a años para la contabilización. </w:t>
      </w:r>
    </w:p>
    <w:p w:rsidR="00522688" w:rsidRDefault="004E4FBB">
      <w:pPr>
        <w:numPr>
          <w:ilvl w:val="2"/>
          <w:numId w:val="45"/>
        </w:numPr>
        <w:pBdr>
          <w:top w:val="nil"/>
          <w:left w:val="nil"/>
          <w:bottom w:val="nil"/>
          <w:right w:val="nil"/>
          <w:between w:val="nil"/>
        </w:pBdr>
        <w:ind w:left="426" w:hanging="426"/>
        <w:rPr>
          <w:color w:val="000000"/>
        </w:rPr>
      </w:pPr>
      <w:r>
        <w:rPr>
          <w:color w:val="000000"/>
        </w:rPr>
        <w:lastRenderedPageBreak/>
        <w:t>Las reglas de equivalencias descritas en la Matriz 4 no aplican para el otorgamiento de puntaj</w:t>
      </w:r>
      <w:r>
        <w:rPr>
          <w:color w:val="000000"/>
        </w:rPr>
        <w:t xml:space="preserve">e, solamente para verificar que el profesional cumple con la experiencia mínima requerida por la Entidad. </w:t>
      </w:r>
    </w:p>
    <w:p w:rsidR="00522688" w:rsidRDefault="00522688"/>
    <w:p w:rsidR="00522688" w:rsidRDefault="004E4FBB">
      <w:r>
        <w:t>En el caso de que la Entidad establezca más de un profesional por cargo, cada uno de ellos deberá cumplir con el año de experiencia específica adici</w:t>
      </w:r>
      <w:r>
        <w:t xml:space="preserve">onal. </w:t>
      </w:r>
      <w:r>
        <w:rPr>
          <w:highlight w:val="lightGray"/>
        </w:rPr>
        <w:t>[Es decir, si la Entidad considera que el proyecto requiere 2 especialistas principales, para que el oferente sea acreedor de dicho puntaje, debe cumplir con el requisito adicional en relación con los 2 especialistas principales.]</w:t>
      </w:r>
      <w:r>
        <w:t xml:space="preserve"> </w:t>
      </w:r>
    </w:p>
    <w:p w:rsidR="00522688" w:rsidRDefault="00522688"/>
    <w:p w:rsidR="00522688" w:rsidRDefault="004E4FBB">
      <w:pPr>
        <w:pStyle w:val="Ttulo3"/>
        <w:numPr>
          <w:ilvl w:val="2"/>
          <w:numId w:val="15"/>
        </w:numPr>
      </w:pPr>
      <w:bookmarkStart w:id="58" w:name="_heading=h.1egqt2p" w:colFirst="0" w:colLast="0"/>
      <w:bookmarkEnd w:id="58"/>
      <w:r>
        <w:t>FORMACIÓN ACADÉMI</w:t>
      </w:r>
      <w:r>
        <w:t>CA ADICIONAL</w:t>
      </w:r>
    </w:p>
    <w:p w:rsidR="00522688" w:rsidRDefault="00522688"/>
    <w:p w:rsidR="00522688" w:rsidRDefault="004E4FBB">
      <w:r>
        <w:t xml:space="preserve">La Entidad asignará cinco (5) puntos al Proponente que se comprometa con el diligenciamiento del “Formato 9 – Experiencia y formación académica adicional del Personal Clave Evaluable” a acreditar que </w:t>
      </w:r>
      <w:r>
        <w:rPr>
          <w:highlight w:val="lightGray"/>
        </w:rPr>
        <w:t>[cada uno de los integrantes que conforman</w:t>
      </w:r>
      <w:r>
        <w:rPr>
          <w:highlight w:val="lightGray"/>
        </w:rPr>
        <w:t xml:space="preserve"> el Personal Clave Evaluable: i) el director de consultoría, ii) el coordinador de consultoría (en los casos que aplique) y iii) el especialista principal del proyecto]</w:t>
      </w:r>
      <w:r>
        <w:t xml:space="preserve"> tienen una formación académica adicional a la definida en la “Matriz 4 – Lineamientos d</w:t>
      </w:r>
      <w:r>
        <w:t xml:space="preserve">el Personal Clave Evaluable”. </w:t>
      </w:r>
      <w:r>
        <w:rPr>
          <w:highlight w:val="lightGray"/>
        </w:rPr>
        <w:t>[Es decir, si el requisito mínimo de formación académica es contar con un título de posgrado, se otorgará el puntaje a quien se comprometa a presentar un título de posgrado adicional].</w:t>
      </w:r>
      <w:r>
        <w:t xml:space="preserve"> </w:t>
      </w:r>
    </w:p>
    <w:p w:rsidR="00522688" w:rsidRDefault="00522688"/>
    <w:p w:rsidR="00522688" w:rsidRDefault="004E4FBB">
      <w:r>
        <w:t>Para otorgar el puntaje basta con prese</w:t>
      </w:r>
      <w:r>
        <w:t xml:space="preserve">ntar el “Formato 9 - Experiencia y formación académica adicional del Personal Clave Evaluable”. Por tanto, </w:t>
      </w:r>
      <w:r>
        <w:rPr>
          <w:u w:val="single"/>
        </w:rPr>
        <w:t>no se revisarán los soportes académicos del Personal Clave Evaluable durante la evaluación de las ofertas</w:t>
      </w:r>
      <w:r>
        <w:t>. La verificación de los documentos relacion</w:t>
      </w:r>
      <w:r>
        <w:t>ados con el Personal Clave Evaluable se hará de acuerdo con lo señalado en el numeral 9.1 “información para el control de la ejecución de la consultoría”.</w:t>
      </w:r>
    </w:p>
    <w:p w:rsidR="00522688" w:rsidRDefault="00522688"/>
    <w:p w:rsidR="00522688" w:rsidRDefault="004E4FBB">
      <w:pPr>
        <w:numPr>
          <w:ilvl w:val="0"/>
          <w:numId w:val="5"/>
        </w:numPr>
        <w:pBdr>
          <w:top w:val="nil"/>
          <w:left w:val="nil"/>
          <w:bottom w:val="nil"/>
          <w:right w:val="nil"/>
          <w:between w:val="nil"/>
        </w:pBdr>
        <w:ind w:left="709" w:hanging="349"/>
        <w:rPr>
          <w:color w:val="000000"/>
        </w:rPr>
      </w:pPr>
      <w:r>
        <w:rPr>
          <w:color w:val="000000"/>
        </w:rPr>
        <w:t>Las Entidades no podrán solicitar títulos de posgrado particulares, es decir, que el Personal Clave Evaluable tenga una especialización, una maestría o un doctorado, sino que se exigirá que el título de posgrado esté enfocado en un área de conocimiento par</w:t>
      </w:r>
      <w:r>
        <w:rPr>
          <w:color w:val="000000"/>
        </w:rPr>
        <w:t xml:space="preserve">a verificar las condiciones mínimas requeridas (p.ej. título de posgrado en pavimentos o geotecnia). </w:t>
      </w:r>
    </w:p>
    <w:p w:rsidR="00522688" w:rsidRDefault="004E4FBB">
      <w:pPr>
        <w:numPr>
          <w:ilvl w:val="0"/>
          <w:numId w:val="5"/>
        </w:numPr>
        <w:pBdr>
          <w:top w:val="nil"/>
          <w:left w:val="nil"/>
          <w:bottom w:val="nil"/>
          <w:right w:val="nil"/>
          <w:between w:val="nil"/>
        </w:pBdr>
        <w:ind w:left="709" w:hanging="349"/>
        <w:rPr>
          <w:color w:val="000000"/>
        </w:rPr>
      </w:pPr>
      <w:r>
        <w:rPr>
          <w:color w:val="000000"/>
        </w:rPr>
        <w:t>Las reglas de equivalencias descritas en la Matriz 4 no aplican para el otorgamiento de puntaje, solamente para verificar que el profesional cumple con la</w:t>
      </w:r>
      <w:r>
        <w:rPr>
          <w:color w:val="000000"/>
        </w:rPr>
        <w:t xml:space="preserve"> formación académica mínima requerida por la Entidad. </w:t>
      </w:r>
    </w:p>
    <w:p w:rsidR="00522688" w:rsidRDefault="004E4FBB">
      <w:pPr>
        <w:numPr>
          <w:ilvl w:val="0"/>
          <w:numId w:val="5"/>
        </w:numPr>
        <w:pBdr>
          <w:top w:val="nil"/>
          <w:left w:val="nil"/>
          <w:bottom w:val="nil"/>
          <w:right w:val="nil"/>
          <w:between w:val="nil"/>
        </w:pBdr>
        <w:ind w:left="709" w:hanging="349"/>
        <w:rPr>
          <w:color w:val="000000"/>
        </w:rPr>
      </w:pPr>
      <w:r>
        <w:rPr>
          <w:color w:val="000000"/>
        </w:rPr>
        <w:t>Se entiende por “Formación académica adicional” aquella relacionada directamente con el cargo a desempeñar.</w:t>
      </w:r>
    </w:p>
    <w:p w:rsidR="00522688" w:rsidRDefault="00522688"/>
    <w:p w:rsidR="00522688" w:rsidRDefault="004E4FBB">
      <w:r>
        <w:t>En el caso que la Entidad establezca más de un profesional por cargo, cada uno de ellos debe</w:t>
      </w:r>
      <w:r>
        <w:t xml:space="preserve">rá cumplir con la formación académica adicional. </w:t>
      </w:r>
      <w:r>
        <w:rPr>
          <w:highlight w:val="lightGray"/>
        </w:rPr>
        <w:t>[Es decir, si la Entidad considera que el proyecto requiere 2 especialistas principales, para que el oferente sea acreedor de dicho puntaje, debe cumplir con el requisito adicional en relación con los 2 espe</w:t>
      </w:r>
      <w:r>
        <w:rPr>
          <w:highlight w:val="lightGray"/>
        </w:rPr>
        <w:t>cialistas principales.]</w:t>
      </w:r>
    </w:p>
    <w:p w:rsidR="00522688" w:rsidRDefault="00522688"/>
    <w:p w:rsidR="00522688" w:rsidRDefault="004E4FBB">
      <w:pPr>
        <w:pStyle w:val="Ttulo3"/>
        <w:numPr>
          <w:ilvl w:val="2"/>
          <w:numId w:val="15"/>
        </w:numPr>
      </w:pPr>
      <w:bookmarkStart w:id="59" w:name="_heading=h.3ygebqi" w:colFirst="0" w:colLast="0"/>
      <w:bookmarkEnd w:id="59"/>
      <w:r>
        <w:t>CAMBIO DEL PERSONAL CLAVE EVALUABLE</w:t>
      </w:r>
    </w:p>
    <w:p w:rsidR="00522688" w:rsidRDefault="00522688"/>
    <w:p w:rsidR="00522688" w:rsidRDefault="004E4FBB">
      <w:r>
        <w:t>El Personal Clave Evaluable ofrecido inicialmente será quien debe ejecutar el Contrato. Excepcionalmente, en caso de requerir el cambio de personal, por razones que deben quedar sustentadas en e</w:t>
      </w:r>
      <w:r>
        <w:t xml:space="preserve">l expediente del Contrato, el Consultor presentará las hojas de vida del aspirante con sus respectivos soportes para evaluación y consideración de la Entidad en un plazo no mayor a </w:t>
      </w:r>
      <w:r>
        <w:rPr>
          <w:highlight w:val="lightGray"/>
        </w:rPr>
        <w:t>[incluir el número de días]</w:t>
      </w:r>
      <w:r>
        <w:t xml:space="preserve"> días hábiles. La persona que reemplazará al pro</w:t>
      </w:r>
      <w:r>
        <w:t>fesional del Personal Clave Evaluable debe cumplir con los requisitos mínimos descritos en la “Matriz 4- Información del personal clave evaluable” y tener el año de experiencia específica adicional o tener un título de posgrado adicional, si se trata de un</w:t>
      </w:r>
      <w:r>
        <w:t xml:space="preserve"> profesional por el cual se asignó puntaje. En todo caso, la Entidad se reserva el derecho de aceptarlos o no, sin perjuicio de que, en caso de rechazo, deba motivar las </w:t>
      </w:r>
      <w:r>
        <w:lastRenderedPageBreak/>
        <w:t xml:space="preserve">razones objetivas y suficientes relacionadas directamente con alguna o algunas de las </w:t>
      </w:r>
      <w:r>
        <w:t>condiciones exigidas.</w:t>
      </w:r>
    </w:p>
    <w:p w:rsidR="00522688" w:rsidRDefault="00522688"/>
    <w:p w:rsidR="00522688" w:rsidRDefault="004E4FBB">
      <w:pPr>
        <w:pStyle w:val="Ttulo2"/>
        <w:numPr>
          <w:ilvl w:val="1"/>
          <w:numId w:val="15"/>
        </w:numPr>
        <w:ind w:left="709" w:hanging="709"/>
      </w:pPr>
      <w:bookmarkStart w:id="60" w:name="_heading=h.2dlolyb" w:colFirst="0" w:colLast="0"/>
      <w:bookmarkEnd w:id="60"/>
      <w:r>
        <w:t xml:space="preserve">FACTOR DE SOSTENIBILIDAD </w:t>
      </w:r>
    </w:p>
    <w:p w:rsidR="00522688" w:rsidRDefault="00522688"/>
    <w:p w:rsidR="00522688" w:rsidRDefault="004E4FBB">
      <w:r>
        <w:rPr>
          <w:highlight w:val="lightGray"/>
        </w:rPr>
        <w:t xml:space="preserve">[Las Entidades incluirán </w:t>
      </w:r>
      <w:r>
        <w:rPr>
          <w:b/>
          <w:i/>
          <w:highlight w:val="lightGray"/>
        </w:rPr>
        <w:t>obligatoriamente</w:t>
      </w:r>
      <w:r>
        <w:rPr>
          <w:highlight w:val="lightGray"/>
        </w:rPr>
        <w:t xml:space="preserve"> este factor de sostenibilidad en todos los Procesos de Contratación, y su puntaje corresponde a un (1) punto en caso de ser ofrecido]</w:t>
      </w:r>
    </w:p>
    <w:p w:rsidR="00522688" w:rsidRDefault="00522688"/>
    <w:p w:rsidR="00522688" w:rsidRDefault="004E4FBB">
      <w:r>
        <w:t xml:space="preserve">La Entidad asignará un (1) punto al Proponente que se comprometa con el diligenciamiento del “Formato 10 – Factor de sostenibilidad”, a realizar sus entregables (comunicaciones, informes, memorias de cálculo, diseños por componentes, entre otros), siempre </w:t>
      </w:r>
      <w:r>
        <w:t xml:space="preserve">que aplique, la impresión debe hacerse a doble cara, asimismo el papel utilizado debe (i) estar certificado en el Sello Ambiental Colombiano, o (ii) debe ser papel reciclado o procedente de fuentes forestales sostenibles o naturales y estar libre de cloro </w:t>
      </w:r>
      <w:r>
        <w:t xml:space="preserve">elemental. De igual manera y cuando el documento lo permita, se reutilizarán hojas ya usadas por una cara, por ejemplo, para evidencias de trabajo de campo. </w:t>
      </w:r>
    </w:p>
    <w:p w:rsidR="00522688" w:rsidRDefault="00522688"/>
    <w:p w:rsidR="00522688" w:rsidRDefault="004E4FBB">
      <w:r>
        <w:t>Adicionalmente, el Proponente deberá contar con una política de reciclaje y/o reutilización de re</w:t>
      </w:r>
      <w:r>
        <w:t>siduos o desechos generados por el funcionamiento de la empresa u oficinas, para lo cual, en los informes de seguimiento establecidos por la Entidad, se deberá hacer alusión a los programas o estrategias de reciclaje y/o reutilización de residuos o desecho</w:t>
      </w:r>
      <w:r>
        <w:t xml:space="preserve">s. </w:t>
      </w:r>
    </w:p>
    <w:p w:rsidR="00522688" w:rsidRDefault="00522688"/>
    <w:p w:rsidR="00522688" w:rsidRDefault="004E4FBB">
      <w:r>
        <w:t>Sobre este factor, se exceptúan los entregables que correspondan a Medios Magnéticos, o planos cuyo tamaño sobrepase el formato de papel “legal”.</w:t>
      </w:r>
    </w:p>
    <w:p w:rsidR="00522688" w:rsidRDefault="00522688"/>
    <w:p w:rsidR="00522688" w:rsidRDefault="004E4FBB">
      <w:r>
        <w:t>El interventor o supervisor verificará el cumplimiento de este criterio y, además, comprobará, para el inicio de la ejecución del Contrato, que el futuro contratista entregue la ficha técnica del papel a utilizar en los términos del numeral “9.1 informació</w:t>
      </w:r>
      <w:r>
        <w:t xml:space="preserve">n para el control de la ejecución de la consultoría”. </w:t>
      </w:r>
    </w:p>
    <w:p w:rsidR="00522688" w:rsidRDefault="00522688"/>
    <w:p w:rsidR="00522688" w:rsidRDefault="004E4FBB">
      <w:pPr>
        <w:pStyle w:val="Ttulo2"/>
        <w:numPr>
          <w:ilvl w:val="1"/>
          <w:numId w:val="15"/>
        </w:numPr>
        <w:ind w:left="709" w:hanging="709"/>
      </w:pPr>
      <w:bookmarkStart w:id="61" w:name="_heading=h.sqyw64" w:colFirst="0" w:colLast="0"/>
      <w:bookmarkEnd w:id="61"/>
      <w:r>
        <w:t>APOYO A LA INDUSTRIA NACIONAL</w:t>
      </w:r>
    </w:p>
    <w:p w:rsidR="00522688" w:rsidRDefault="00522688"/>
    <w:p w:rsidR="00522688" w:rsidRDefault="004E4FBB">
      <w:r>
        <w:t>Los Proponentes pueden obtener puntaje de apoyo a la industria nacional por: i) Servicios Nacionales o con Trato Nacional o por ii) la incorporación de componente nacion</w:t>
      </w:r>
      <w:r>
        <w:t>al en servicios extranjeros. La Entidad en ningún caso otorgará simultáneamente el puntaje por ambos aspectos.</w:t>
      </w:r>
    </w:p>
    <w:p w:rsidR="00522688" w:rsidRDefault="00522688"/>
    <w:p w:rsidR="00522688" w:rsidRDefault="004E4FBB">
      <w:r>
        <w:t>Los puntajes para estimular a la industria nacional se relacionan en la siguiente tabla:</w:t>
      </w:r>
    </w:p>
    <w:p w:rsidR="00522688" w:rsidRDefault="00522688"/>
    <w:tbl>
      <w:tblPr>
        <w:tblStyle w:val="ab"/>
        <w:tblW w:w="581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8"/>
        <w:gridCol w:w="1555"/>
      </w:tblGrid>
      <w:tr w:rsidR="00522688">
        <w:trPr>
          <w:trHeight w:val="283"/>
          <w:jc w:val="center"/>
        </w:trPr>
        <w:tc>
          <w:tcPr>
            <w:tcW w:w="4258" w:type="dxa"/>
            <w:shd w:val="clear" w:color="auto" w:fill="3B3838"/>
            <w:vAlign w:val="center"/>
          </w:tcPr>
          <w:p w:rsidR="00522688" w:rsidRDefault="004E4FBB">
            <w:pPr>
              <w:jc w:val="center"/>
              <w:rPr>
                <w:b/>
                <w:sz w:val="18"/>
                <w:szCs w:val="18"/>
              </w:rPr>
            </w:pPr>
            <w:r>
              <w:rPr>
                <w:b/>
                <w:sz w:val="18"/>
                <w:szCs w:val="18"/>
              </w:rPr>
              <w:t>Concepto</w:t>
            </w:r>
          </w:p>
        </w:tc>
        <w:tc>
          <w:tcPr>
            <w:tcW w:w="1555" w:type="dxa"/>
            <w:shd w:val="clear" w:color="auto" w:fill="3B3838"/>
            <w:vAlign w:val="center"/>
          </w:tcPr>
          <w:p w:rsidR="00522688" w:rsidRDefault="004E4FBB">
            <w:pPr>
              <w:jc w:val="center"/>
              <w:rPr>
                <w:b/>
                <w:sz w:val="18"/>
                <w:szCs w:val="18"/>
              </w:rPr>
            </w:pPr>
            <w:r>
              <w:rPr>
                <w:b/>
                <w:sz w:val="18"/>
                <w:szCs w:val="18"/>
              </w:rPr>
              <w:t>Puntaje</w:t>
            </w:r>
          </w:p>
        </w:tc>
      </w:tr>
      <w:tr w:rsidR="00522688">
        <w:trPr>
          <w:trHeight w:val="283"/>
          <w:jc w:val="center"/>
        </w:trPr>
        <w:tc>
          <w:tcPr>
            <w:tcW w:w="4258" w:type="dxa"/>
            <w:vAlign w:val="center"/>
          </w:tcPr>
          <w:p w:rsidR="00522688" w:rsidRDefault="004E4FBB">
            <w:pPr>
              <w:jc w:val="center"/>
              <w:rPr>
                <w:sz w:val="18"/>
                <w:szCs w:val="18"/>
              </w:rPr>
            </w:pPr>
            <w:r>
              <w:rPr>
                <w:sz w:val="18"/>
                <w:szCs w:val="18"/>
              </w:rPr>
              <w:t xml:space="preserve">Promoción de Servicios Nacionales o </w:t>
            </w:r>
            <w:r>
              <w:rPr>
                <w:sz w:val="18"/>
                <w:szCs w:val="18"/>
              </w:rPr>
              <w:t>con Trato Nacional</w:t>
            </w:r>
          </w:p>
        </w:tc>
        <w:tc>
          <w:tcPr>
            <w:tcW w:w="1555" w:type="dxa"/>
            <w:vAlign w:val="center"/>
          </w:tcPr>
          <w:p w:rsidR="00522688" w:rsidRDefault="004E4FBB">
            <w:pPr>
              <w:jc w:val="center"/>
              <w:rPr>
                <w:sz w:val="18"/>
                <w:szCs w:val="18"/>
              </w:rPr>
            </w:pPr>
            <w:r>
              <w:rPr>
                <w:sz w:val="18"/>
                <w:szCs w:val="18"/>
              </w:rPr>
              <w:t>20</w:t>
            </w:r>
          </w:p>
        </w:tc>
      </w:tr>
      <w:tr w:rsidR="00522688">
        <w:trPr>
          <w:trHeight w:val="283"/>
          <w:jc w:val="center"/>
        </w:trPr>
        <w:tc>
          <w:tcPr>
            <w:tcW w:w="4258" w:type="dxa"/>
            <w:vAlign w:val="center"/>
          </w:tcPr>
          <w:p w:rsidR="00522688" w:rsidRDefault="004E4FBB">
            <w:pPr>
              <w:jc w:val="center"/>
              <w:rPr>
                <w:sz w:val="18"/>
                <w:szCs w:val="18"/>
              </w:rPr>
            </w:pPr>
            <w:r>
              <w:rPr>
                <w:sz w:val="18"/>
                <w:szCs w:val="18"/>
              </w:rPr>
              <w:t>Incorporación de componente nacional en servicios extranjeros</w:t>
            </w:r>
          </w:p>
        </w:tc>
        <w:tc>
          <w:tcPr>
            <w:tcW w:w="1555" w:type="dxa"/>
            <w:vAlign w:val="center"/>
          </w:tcPr>
          <w:p w:rsidR="00522688" w:rsidRDefault="004E4FBB">
            <w:pPr>
              <w:jc w:val="center"/>
              <w:rPr>
                <w:sz w:val="18"/>
                <w:szCs w:val="18"/>
              </w:rPr>
            </w:pPr>
            <w:r>
              <w:rPr>
                <w:sz w:val="18"/>
                <w:szCs w:val="18"/>
              </w:rPr>
              <w:t>5</w:t>
            </w:r>
          </w:p>
        </w:tc>
      </w:tr>
    </w:tbl>
    <w:p w:rsidR="00522688" w:rsidRDefault="00522688"/>
    <w:p w:rsidR="00522688" w:rsidRDefault="004E4FBB">
      <w:pPr>
        <w:pStyle w:val="Ttulo3"/>
        <w:numPr>
          <w:ilvl w:val="2"/>
          <w:numId w:val="15"/>
        </w:numPr>
      </w:pPr>
      <w:bookmarkStart w:id="62" w:name="_heading=h.3cqmetx" w:colFirst="0" w:colLast="0"/>
      <w:bookmarkEnd w:id="62"/>
      <w:r>
        <w:t xml:space="preserve">PROMOCIÓN DE SERVICIOS NACIONALES O CON TRATO NACIONAL </w:t>
      </w:r>
    </w:p>
    <w:p w:rsidR="00522688" w:rsidRDefault="00522688"/>
    <w:p w:rsidR="00522688" w:rsidRDefault="004E4FBB">
      <w:r>
        <w:t xml:space="preserve">En los contratos que deban cumplirse en Colombia, el servicio es nacional cuando además de ofertarse por una persona natural colombiana o por un residente en Colombia, por una persona jurídica constituida de conformidad con la legislación colombiana o por </w:t>
      </w:r>
      <w:r>
        <w:t>un Proponente Plural conformado por estos o por estos y un extranjero con Trato Nacional, (i) usa el o los bienes nacionales relevantes definidos por la Entidad Estatal para el desarrollo de la obra o (ii) vincula el porcentaje mínimo de personal colombian</w:t>
      </w:r>
      <w:r>
        <w:t>o, según corresponda.</w:t>
      </w:r>
    </w:p>
    <w:p w:rsidR="00522688" w:rsidRDefault="00522688"/>
    <w:p w:rsidR="00522688" w:rsidRDefault="004E4FBB">
      <w:r>
        <w:lastRenderedPageBreak/>
        <w:t>En los contratos que no deban cumplirse en Colombia, que sean prestados en el extranjero y estén sometidos a la legislación colombiana, un servicio es colombiano si es prestado por una persona natural colombiana o por un residente en</w:t>
      </w:r>
      <w:r>
        <w:t xml:space="preserve"> Colombia, por una persona jurídica constituida de conformidad con la legislación colombiana o un proponente plural conformado por estos, sin que sea necesario el uso de bienes colombianos o la vinculación de personal colombiano.</w:t>
      </w:r>
    </w:p>
    <w:p w:rsidR="00522688" w:rsidRDefault="00522688"/>
    <w:p w:rsidR="00522688" w:rsidRDefault="004E4FBB">
      <w:r>
        <w:t>En el caso de los Propone</w:t>
      </w:r>
      <w:r>
        <w:t>ntes extranjeros con trato nacional que participen en el Proceso de Contratación de manera singular o mediante la conformación de un Proponente Plural podrán definir si aplican las reglas previstas en este numeral o, si por el contrario, deciden acogerse a</w:t>
      </w:r>
      <w:r>
        <w:t xml:space="preserve"> la regla de origen de su país. Para definir la regla aplicable al proceso, el Proponente extranjero con trato nacional así lo manifestará con el diligenciamiento de la opción 2 del Formato 7A – Promoción de Servicios Nacionales o con Trato Nacional. En el</w:t>
      </w:r>
      <w:r>
        <w:t xml:space="preserve"> caso que no se diligencie la opción 2 del Formato 7A – Promoción de Servicios Nacionales o con Trato Nacional, la Entidad Estatal deberá evaluar la oferta de acuerdo con las reglas previstas en este numeral. </w:t>
      </w:r>
    </w:p>
    <w:p w:rsidR="00522688" w:rsidRDefault="00522688"/>
    <w:p w:rsidR="00522688" w:rsidRDefault="004E4FBB">
      <w:r>
        <w:t>Debido a la especialidad del contrato, en est</w:t>
      </w:r>
      <w:r>
        <w:t>e Proceso de Contratación para el otorgamiento de puntaje no habrá bienes nacionales relevantes y, por tanto, en todos los casos se otorgará el puntaje de apoyo a la industria nacional a los Proponentes que se comprometan a vincular durante el desarrollo d</w:t>
      </w:r>
      <w:r>
        <w:t xml:space="preserve">el objeto contractual un porcentaje de empleados o contratistas por prestación de servicios colombianos, de al menos el </w:t>
      </w:r>
      <w:r>
        <w:rPr>
          <w:highlight w:val="lightGray"/>
        </w:rPr>
        <w:t>[la Entidad Estatal definirá el porcentaje requerido que sea por lo menos del cuarenta por ciento (40 %), sin perjuicio de incluir uno s</w:t>
      </w:r>
      <w:r>
        <w:rPr>
          <w:highlight w:val="lightGray"/>
        </w:rPr>
        <w:t>uperior]</w:t>
      </w:r>
      <w:r>
        <w:t xml:space="preserve"> del personal requerido para el cumplimiento del contrato.</w:t>
      </w:r>
    </w:p>
    <w:p w:rsidR="00522688" w:rsidRDefault="00522688"/>
    <w:p w:rsidR="00522688" w:rsidRDefault="004E4FBB">
      <w:r>
        <w:t xml:space="preserve">En el caso de Proponentes Plurales todos, varios o cualquiera de sus integrantes podrá vincular un porcentaje de empleados o contratistas por prestación de servicios colombianos, el </w:t>
      </w:r>
      <w:r>
        <w:rPr>
          <w:highlight w:val="lightGray"/>
        </w:rPr>
        <w:t>[la En</w:t>
      </w:r>
      <w:r>
        <w:rPr>
          <w:highlight w:val="lightGray"/>
        </w:rPr>
        <w:t>tidad Estatal definirá el porcentaje requerido que sea por lo menos del cuarenta por ciento (40 %), sin perjuicio de incluir uno superior]</w:t>
      </w:r>
      <w:r>
        <w:t xml:space="preserve"> del personal requerido para el cumplimiento del contrato. </w:t>
      </w:r>
    </w:p>
    <w:p w:rsidR="00522688" w:rsidRDefault="00522688"/>
    <w:p w:rsidR="00522688" w:rsidRDefault="004E4FBB">
      <w:r>
        <w:t>Además de la incorporación de personal colombiano, tratán</w:t>
      </w:r>
      <w:r>
        <w:t>dose de Proponentes Plurales, su composición deberá estar acorde con lo exigido por la noción de Servicios Nacionales prevista en el artículo 2.2.1.1.1.3.1 del Decreto 1082 de 2015, de lo que dependerá la franja del puntaje aplicable en lo referente al apo</w:t>
      </w:r>
      <w:r>
        <w:t>yo de la industria nacional.</w:t>
      </w:r>
    </w:p>
    <w:p w:rsidR="00522688" w:rsidRDefault="00522688"/>
    <w:p w:rsidR="00522688" w:rsidRDefault="004E4FBB">
      <w:r>
        <w:t>A tales efectos en la siguiente tabla se indican las posibles composiciones de Proponentes Plurales, la regla de origen que les aplica en virtud de dicha conformación, así como la franja de puntaje correspondiente:</w:t>
      </w:r>
    </w:p>
    <w:p w:rsidR="00522688" w:rsidRDefault="00522688"/>
    <w:tbl>
      <w:tblPr>
        <w:tblStyle w:val="ac"/>
        <w:tblW w:w="82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
        <w:gridCol w:w="2465"/>
        <w:gridCol w:w="2977"/>
        <w:gridCol w:w="2268"/>
      </w:tblGrid>
      <w:tr w:rsidR="00522688">
        <w:trPr>
          <w:trHeight w:val="283"/>
          <w:jc w:val="center"/>
        </w:trPr>
        <w:tc>
          <w:tcPr>
            <w:tcW w:w="507" w:type="dxa"/>
            <w:shd w:val="clear" w:color="auto" w:fill="3B3838"/>
            <w:vAlign w:val="center"/>
          </w:tcPr>
          <w:p w:rsidR="00522688" w:rsidRDefault="004E4FBB">
            <w:pPr>
              <w:jc w:val="center"/>
              <w:rPr>
                <w:b/>
                <w:sz w:val="18"/>
                <w:szCs w:val="18"/>
              </w:rPr>
            </w:pPr>
            <w:r>
              <w:rPr>
                <w:b/>
                <w:sz w:val="18"/>
                <w:szCs w:val="18"/>
              </w:rPr>
              <w:t>No.</w:t>
            </w:r>
          </w:p>
        </w:tc>
        <w:tc>
          <w:tcPr>
            <w:tcW w:w="2465" w:type="dxa"/>
            <w:shd w:val="clear" w:color="auto" w:fill="3B3838"/>
            <w:vAlign w:val="center"/>
          </w:tcPr>
          <w:p w:rsidR="00522688" w:rsidRDefault="004E4FBB">
            <w:pPr>
              <w:jc w:val="center"/>
              <w:rPr>
                <w:b/>
                <w:sz w:val="18"/>
                <w:szCs w:val="18"/>
              </w:rPr>
            </w:pPr>
            <w:r>
              <w:rPr>
                <w:b/>
                <w:sz w:val="18"/>
                <w:szCs w:val="18"/>
              </w:rPr>
              <w:t>Composición del Proponente Plural</w:t>
            </w:r>
          </w:p>
        </w:tc>
        <w:tc>
          <w:tcPr>
            <w:tcW w:w="2977" w:type="dxa"/>
            <w:shd w:val="clear" w:color="auto" w:fill="3B3838"/>
            <w:vAlign w:val="center"/>
          </w:tcPr>
          <w:p w:rsidR="00522688" w:rsidRDefault="004E4FBB">
            <w:pPr>
              <w:jc w:val="center"/>
              <w:rPr>
                <w:b/>
                <w:sz w:val="18"/>
                <w:szCs w:val="18"/>
              </w:rPr>
            </w:pPr>
            <w:r>
              <w:rPr>
                <w:b/>
                <w:sz w:val="18"/>
                <w:szCs w:val="18"/>
              </w:rPr>
              <w:t>Regla de origen aplicable</w:t>
            </w:r>
          </w:p>
        </w:tc>
        <w:tc>
          <w:tcPr>
            <w:tcW w:w="2268" w:type="dxa"/>
            <w:shd w:val="clear" w:color="auto" w:fill="3B3838"/>
            <w:vAlign w:val="center"/>
          </w:tcPr>
          <w:p w:rsidR="00522688" w:rsidRDefault="004E4FBB">
            <w:pPr>
              <w:jc w:val="center"/>
              <w:rPr>
                <w:b/>
                <w:sz w:val="18"/>
                <w:szCs w:val="18"/>
              </w:rPr>
            </w:pPr>
            <w:r>
              <w:rPr>
                <w:b/>
                <w:sz w:val="18"/>
                <w:szCs w:val="18"/>
              </w:rPr>
              <w:t>Puntaje aplicable</w:t>
            </w:r>
          </w:p>
        </w:tc>
      </w:tr>
      <w:tr w:rsidR="00522688">
        <w:trPr>
          <w:trHeight w:val="283"/>
          <w:jc w:val="center"/>
        </w:trPr>
        <w:tc>
          <w:tcPr>
            <w:tcW w:w="507" w:type="dxa"/>
            <w:vAlign w:val="center"/>
          </w:tcPr>
          <w:p w:rsidR="00522688" w:rsidRDefault="004E4FBB">
            <w:pPr>
              <w:jc w:val="center"/>
              <w:rPr>
                <w:sz w:val="18"/>
                <w:szCs w:val="18"/>
              </w:rPr>
            </w:pPr>
            <w:r>
              <w:rPr>
                <w:sz w:val="18"/>
                <w:szCs w:val="18"/>
              </w:rPr>
              <w:t>1.</w:t>
            </w:r>
          </w:p>
        </w:tc>
        <w:tc>
          <w:tcPr>
            <w:tcW w:w="2465" w:type="dxa"/>
            <w:vAlign w:val="center"/>
          </w:tcPr>
          <w:p w:rsidR="00522688" w:rsidRDefault="004E4FBB">
            <w:pPr>
              <w:jc w:val="center"/>
              <w:rPr>
                <w:sz w:val="18"/>
                <w:szCs w:val="18"/>
              </w:rPr>
            </w:pPr>
            <w:r>
              <w:rPr>
                <w:sz w:val="18"/>
                <w:szCs w:val="18"/>
              </w:rPr>
              <w:t>Únicamente integrantes colombianos</w:t>
            </w:r>
          </w:p>
        </w:tc>
        <w:tc>
          <w:tcPr>
            <w:tcW w:w="2977" w:type="dxa"/>
            <w:vAlign w:val="center"/>
          </w:tcPr>
          <w:p w:rsidR="00522688" w:rsidRDefault="004E4FBB">
            <w:pPr>
              <w:jc w:val="center"/>
              <w:rPr>
                <w:sz w:val="18"/>
                <w:szCs w:val="18"/>
              </w:rPr>
            </w:pPr>
            <w:r>
              <w:rPr>
                <w:sz w:val="18"/>
                <w:szCs w:val="18"/>
              </w:rPr>
              <w:t>Decreto 1082 de 2015</w:t>
            </w:r>
          </w:p>
        </w:tc>
        <w:tc>
          <w:tcPr>
            <w:tcW w:w="2268" w:type="dxa"/>
            <w:vAlign w:val="center"/>
          </w:tcPr>
          <w:p w:rsidR="00522688" w:rsidRDefault="004E4FBB">
            <w:pPr>
              <w:jc w:val="center"/>
              <w:rPr>
                <w:sz w:val="18"/>
                <w:szCs w:val="18"/>
              </w:rPr>
            </w:pPr>
            <w:r>
              <w:rPr>
                <w:sz w:val="18"/>
                <w:szCs w:val="18"/>
              </w:rPr>
              <w:t>Promoción de Servicios Nacionales o con Trato Nacional (4.4.1)</w:t>
            </w:r>
          </w:p>
        </w:tc>
      </w:tr>
      <w:tr w:rsidR="00522688">
        <w:trPr>
          <w:trHeight w:val="283"/>
          <w:jc w:val="center"/>
        </w:trPr>
        <w:tc>
          <w:tcPr>
            <w:tcW w:w="507" w:type="dxa"/>
            <w:vAlign w:val="center"/>
          </w:tcPr>
          <w:p w:rsidR="00522688" w:rsidRDefault="004E4FBB">
            <w:pPr>
              <w:jc w:val="center"/>
              <w:rPr>
                <w:sz w:val="18"/>
                <w:szCs w:val="18"/>
              </w:rPr>
            </w:pPr>
            <w:r>
              <w:rPr>
                <w:sz w:val="18"/>
                <w:szCs w:val="18"/>
              </w:rPr>
              <w:t>2.</w:t>
            </w:r>
          </w:p>
        </w:tc>
        <w:tc>
          <w:tcPr>
            <w:tcW w:w="2465" w:type="dxa"/>
            <w:vAlign w:val="center"/>
          </w:tcPr>
          <w:p w:rsidR="00522688" w:rsidRDefault="004E4FBB">
            <w:pPr>
              <w:jc w:val="center"/>
              <w:rPr>
                <w:sz w:val="18"/>
                <w:szCs w:val="18"/>
              </w:rPr>
            </w:pPr>
            <w:r>
              <w:rPr>
                <w:sz w:val="18"/>
                <w:szCs w:val="18"/>
              </w:rPr>
              <w:t>Colombianos en asocio con extranjeros con trato nacional</w:t>
            </w:r>
          </w:p>
        </w:tc>
        <w:tc>
          <w:tcPr>
            <w:tcW w:w="2977" w:type="dxa"/>
            <w:vAlign w:val="center"/>
          </w:tcPr>
          <w:p w:rsidR="00522688" w:rsidRDefault="004E4FBB">
            <w:pPr>
              <w:jc w:val="center"/>
              <w:rPr>
                <w:sz w:val="18"/>
                <w:szCs w:val="18"/>
              </w:rPr>
            </w:pPr>
            <w:r>
              <w:rPr>
                <w:sz w:val="18"/>
                <w:szCs w:val="18"/>
              </w:rPr>
              <w:t>Decreto 1082 de 2015</w:t>
            </w:r>
          </w:p>
        </w:tc>
        <w:tc>
          <w:tcPr>
            <w:tcW w:w="2268" w:type="dxa"/>
            <w:vAlign w:val="center"/>
          </w:tcPr>
          <w:p w:rsidR="00522688" w:rsidRDefault="004E4FBB">
            <w:pPr>
              <w:jc w:val="center"/>
              <w:rPr>
                <w:sz w:val="18"/>
                <w:szCs w:val="18"/>
              </w:rPr>
            </w:pPr>
            <w:r>
              <w:rPr>
                <w:sz w:val="18"/>
                <w:szCs w:val="18"/>
              </w:rPr>
              <w:t>Promoción de Servicios Nacionales o con Trato Nacional (4.4.1)</w:t>
            </w:r>
          </w:p>
        </w:tc>
      </w:tr>
      <w:tr w:rsidR="00522688">
        <w:trPr>
          <w:trHeight w:val="283"/>
          <w:jc w:val="center"/>
        </w:trPr>
        <w:tc>
          <w:tcPr>
            <w:tcW w:w="507" w:type="dxa"/>
            <w:vAlign w:val="center"/>
          </w:tcPr>
          <w:p w:rsidR="00522688" w:rsidRDefault="004E4FBB">
            <w:pPr>
              <w:jc w:val="center"/>
              <w:rPr>
                <w:sz w:val="18"/>
                <w:szCs w:val="18"/>
              </w:rPr>
            </w:pPr>
            <w:r>
              <w:rPr>
                <w:sz w:val="18"/>
                <w:szCs w:val="18"/>
              </w:rPr>
              <w:t>3.</w:t>
            </w:r>
          </w:p>
        </w:tc>
        <w:tc>
          <w:tcPr>
            <w:tcW w:w="2465" w:type="dxa"/>
            <w:vAlign w:val="center"/>
          </w:tcPr>
          <w:p w:rsidR="00522688" w:rsidRDefault="004E4FBB">
            <w:pPr>
              <w:jc w:val="center"/>
              <w:rPr>
                <w:sz w:val="18"/>
                <w:szCs w:val="18"/>
              </w:rPr>
            </w:pPr>
            <w:r>
              <w:rPr>
                <w:sz w:val="18"/>
                <w:szCs w:val="18"/>
              </w:rPr>
              <w:t>Únicamente integrado por extranjeros con trato nacional</w:t>
            </w:r>
          </w:p>
        </w:tc>
        <w:tc>
          <w:tcPr>
            <w:tcW w:w="2977" w:type="dxa"/>
            <w:vAlign w:val="center"/>
          </w:tcPr>
          <w:p w:rsidR="00522688" w:rsidRDefault="004E4FBB">
            <w:pPr>
              <w:jc w:val="center"/>
              <w:rPr>
                <w:sz w:val="18"/>
                <w:szCs w:val="18"/>
              </w:rPr>
            </w:pPr>
            <w:r>
              <w:rPr>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rsidR="00522688" w:rsidRDefault="004E4FBB">
            <w:pPr>
              <w:jc w:val="center"/>
              <w:rPr>
                <w:sz w:val="18"/>
                <w:szCs w:val="18"/>
              </w:rPr>
            </w:pPr>
            <w:r>
              <w:rPr>
                <w:sz w:val="18"/>
                <w:szCs w:val="18"/>
              </w:rPr>
              <w:t>Promoción de Servicios Nacionales o con Trato Nacional (4</w:t>
            </w:r>
            <w:r>
              <w:rPr>
                <w:sz w:val="18"/>
                <w:szCs w:val="18"/>
              </w:rPr>
              <w:t>.4.1)</w:t>
            </w:r>
          </w:p>
        </w:tc>
      </w:tr>
      <w:tr w:rsidR="00522688">
        <w:trPr>
          <w:trHeight w:val="283"/>
          <w:jc w:val="center"/>
        </w:trPr>
        <w:tc>
          <w:tcPr>
            <w:tcW w:w="507" w:type="dxa"/>
            <w:vAlign w:val="center"/>
          </w:tcPr>
          <w:p w:rsidR="00522688" w:rsidRDefault="004E4FBB">
            <w:pPr>
              <w:jc w:val="center"/>
              <w:rPr>
                <w:sz w:val="18"/>
                <w:szCs w:val="18"/>
              </w:rPr>
            </w:pPr>
            <w:r>
              <w:rPr>
                <w:sz w:val="18"/>
                <w:szCs w:val="18"/>
              </w:rPr>
              <w:lastRenderedPageBreak/>
              <w:t>4.</w:t>
            </w:r>
          </w:p>
        </w:tc>
        <w:tc>
          <w:tcPr>
            <w:tcW w:w="2465" w:type="dxa"/>
            <w:vAlign w:val="center"/>
          </w:tcPr>
          <w:p w:rsidR="00522688" w:rsidRDefault="004E4FBB">
            <w:pPr>
              <w:jc w:val="center"/>
              <w:rPr>
                <w:sz w:val="18"/>
                <w:szCs w:val="18"/>
              </w:rPr>
            </w:pPr>
            <w:r>
              <w:rPr>
                <w:sz w:val="18"/>
                <w:szCs w:val="18"/>
              </w:rPr>
              <w:t>Proponente plural en el que al menos uno de los integrantes es extranjero sin trato nacional.</w:t>
            </w:r>
          </w:p>
        </w:tc>
        <w:tc>
          <w:tcPr>
            <w:tcW w:w="2977" w:type="dxa"/>
            <w:vAlign w:val="center"/>
          </w:tcPr>
          <w:p w:rsidR="00522688" w:rsidRDefault="004E4FBB">
            <w:pPr>
              <w:jc w:val="center"/>
              <w:rPr>
                <w:sz w:val="18"/>
                <w:szCs w:val="18"/>
              </w:rPr>
            </w:pPr>
            <w:r>
              <w:rPr>
                <w:sz w:val="18"/>
                <w:szCs w:val="18"/>
              </w:rPr>
              <w:t>No aplica la regla de origen del Decreto 1082 de 2015, ni la de los países de origen.</w:t>
            </w:r>
          </w:p>
        </w:tc>
        <w:tc>
          <w:tcPr>
            <w:tcW w:w="2268" w:type="dxa"/>
            <w:vAlign w:val="center"/>
          </w:tcPr>
          <w:p w:rsidR="00522688" w:rsidRDefault="004E4FBB">
            <w:pPr>
              <w:jc w:val="center"/>
              <w:rPr>
                <w:sz w:val="18"/>
                <w:szCs w:val="18"/>
              </w:rPr>
            </w:pPr>
            <w:r>
              <w:rPr>
                <w:sz w:val="18"/>
                <w:szCs w:val="18"/>
              </w:rPr>
              <w:t>Incorporación de componente nacional en servicios extranjeros (4.4</w:t>
            </w:r>
            <w:r>
              <w:rPr>
                <w:sz w:val="18"/>
                <w:szCs w:val="18"/>
              </w:rPr>
              <w:t>.2)</w:t>
            </w:r>
          </w:p>
        </w:tc>
      </w:tr>
    </w:tbl>
    <w:p w:rsidR="00522688" w:rsidRDefault="00522688"/>
    <w:p w:rsidR="00522688" w:rsidRDefault="004E4FBB">
      <w:pPr>
        <w:pStyle w:val="Ttulo4"/>
        <w:numPr>
          <w:ilvl w:val="3"/>
          <w:numId w:val="15"/>
        </w:numPr>
      </w:pPr>
      <w:bookmarkStart w:id="63" w:name="_heading=h.1rvwp1q" w:colFirst="0" w:colLast="0"/>
      <w:bookmarkEnd w:id="63"/>
      <w:r>
        <w:t xml:space="preserve">ACREDITACIÓN POR SERVICIOS NACIONALES O CON TRATO NACIONAL </w:t>
      </w:r>
    </w:p>
    <w:p w:rsidR="00522688" w:rsidRDefault="00522688"/>
    <w:p w:rsidR="00522688" w:rsidRDefault="004E4FBB">
      <w:r>
        <w:t xml:space="preserve">La Entidad asignará hasta veinte (20) puntos a la oferta de: i) Servicios Nacionales o ii) con Trato Nacional. </w:t>
      </w:r>
    </w:p>
    <w:p w:rsidR="00522688" w:rsidRDefault="00522688"/>
    <w:p w:rsidR="00522688" w:rsidRDefault="004E4FBB">
      <w:r>
        <w:t xml:space="preserve">Para que el Proponente nacional obtenga puntaje por Servicios Nacionales debe presentar, además del Formato 7A – Promoción de Servicios Nacionales o con Trato Nacional, alguno de los siguientes documentos, según corresponda: </w:t>
      </w:r>
    </w:p>
    <w:p w:rsidR="00522688" w:rsidRDefault="00522688"/>
    <w:p w:rsidR="00522688" w:rsidRDefault="004E4FBB">
      <w:pPr>
        <w:numPr>
          <w:ilvl w:val="3"/>
          <w:numId w:val="45"/>
        </w:numPr>
        <w:pBdr>
          <w:top w:val="nil"/>
          <w:left w:val="nil"/>
          <w:bottom w:val="nil"/>
          <w:right w:val="nil"/>
          <w:between w:val="nil"/>
        </w:pBdr>
        <w:ind w:left="426" w:hanging="426"/>
        <w:rPr>
          <w:color w:val="000000"/>
        </w:rPr>
      </w:pPr>
      <w:r>
        <w:rPr>
          <w:color w:val="000000"/>
        </w:rPr>
        <w:t>Persona natural colombiana: L</w:t>
      </w:r>
      <w:r>
        <w:rPr>
          <w:color w:val="000000"/>
        </w:rPr>
        <w:t>a cédula de ciudadanía del Proponente.</w:t>
      </w:r>
    </w:p>
    <w:p w:rsidR="00522688" w:rsidRDefault="004E4FBB">
      <w:pPr>
        <w:numPr>
          <w:ilvl w:val="3"/>
          <w:numId w:val="45"/>
        </w:numPr>
        <w:pBdr>
          <w:top w:val="nil"/>
          <w:left w:val="nil"/>
          <w:bottom w:val="nil"/>
          <w:right w:val="nil"/>
          <w:between w:val="nil"/>
        </w:pBdr>
        <w:ind w:left="426" w:hanging="426"/>
        <w:rPr>
          <w:color w:val="000000"/>
        </w:rPr>
      </w:pPr>
      <w:r>
        <w:rPr>
          <w:color w:val="000000"/>
        </w:rPr>
        <w:t>Persona natural extranjera residente en Colombia: La visa de residencia que le permita la ejecución del objeto contractual de conformidad con la ley.</w:t>
      </w:r>
    </w:p>
    <w:p w:rsidR="00522688" w:rsidRDefault="004E4FBB">
      <w:pPr>
        <w:numPr>
          <w:ilvl w:val="3"/>
          <w:numId w:val="45"/>
        </w:numPr>
        <w:pBdr>
          <w:top w:val="nil"/>
          <w:left w:val="nil"/>
          <w:bottom w:val="nil"/>
          <w:right w:val="nil"/>
          <w:between w:val="nil"/>
        </w:pBdr>
        <w:ind w:left="426" w:hanging="426"/>
        <w:rPr>
          <w:color w:val="000000"/>
        </w:rPr>
      </w:pPr>
      <w:r>
        <w:rPr>
          <w:color w:val="000000"/>
        </w:rPr>
        <w:t>Persona jurídica constituida en Colombia: El certificado de existen</w:t>
      </w:r>
      <w:r>
        <w:rPr>
          <w:color w:val="000000"/>
        </w:rPr>
        <w:t xml:space="preserve">cia y representación legal emitido por alguna de las cámaras de comercio del país. </w:t>
      </w:r>
    </w:p>
    <w:p w:rsidR="00522688" w:rsidRDefault="00522688"/>
    <w:p w:rsidR="00522688" w:rsidRDefault="004E4FBB">
      <w:r>
        <w:t>Para que el Proponente extranjero con trato nacional obtenga el puntaje por apoyo a la industria nacional por promoción de Servicios Nacionales o con Trato Nacional solo d</w:t>
      </w:r>
      <w:r>
        <w:t>eberá presentar el Formato 7A – Promoción de Servicios Nacionales o con Trato Nacional.</w:t>
      </w:r>
    </w:p>
    <w:p w:rsidR="00522688" w:rsidRDefault="00522688"/>
    <w:p w:rsidR="00522688" w:rsidRDefault="00522688"/>
    <w:p w:rsidR="00522688" w:rsidRDefault="004E4FBB">
      <w:r>
        <w:t>Para el Proponente extranjero con trato nacional que diligencie la opción 2 del Formato 7A – Promoción de Servicios Nacionales o con Trato Nacional obtenga el puntaje</w:t>
      </w:r>
      <w:r>
        <w:t xml:space="preserve"> por Trato Nacional, deberá acreditar que los servicios son originarios de: a) los Estados mencionados en la sección de acuerdos comerciales aplicables al presente Proceso de Contratación; b) los Estados en los cuales si bien no existe Acuerdo Comercial, e</w:t>
      </w:r>
      <w:r>
        <w:t>l Gobierno Nacional ha certificado que los oferentes extranjeros gozan de Trato Nacional, en los términos del artículo 2.2.1.2.4.1.3. del Decreto 1082 de 2015; o c) los Estados miembros de la Comunidad Andina de Naciones. Para esto, deberá demostrar que cu</w:t>
      </w:r>
      <w:r>
        <w:t>mple con la regla de origen contemplada para los Servicios Nacionales del respectivo país, allegando la información y/o documentación que sea requerida.</w:t>
      </w:r>
    </w:p>
    <w:p w:rsidR="00522688" w:rsidRDefault="00522688"/>
    <w:p w:rsidR="00522688" w:rsidRDefault="004E4FBB">
      <w:r>
        <w:t>El Proponente nacional podrá subsanar la falta de presentación de la cédula de ciudadanía o del certif</w:t>
      </w:r>
      <w:r>
        <w:t xml:space="preserve">icado de existencia y representación legal para acreditar el requisito habilitante de capacidad jurídica. No obstante, no podrá subsanar esta circunstancia para la asignación del puntaje por Promoción de Servicios Nacionales o con Trato Nacional. </w:t>
      </w:r>
    </w:p>
    <w:p w:rsidR="00522688" w:rsidRDefault="00522688"/>
    <w:p w:rsidR="00522688" w:rsidRDefault="004E4FBB">
      <w:r>
        <w:t>La Enti</w:t>
      </w:r>
      <w:r>
        <w:t>dad Estatal asignará el puntaje por apoyo a la industria nacional por promoción de Servicios Nacionales o con Trato Nacional al Proponente Plural conformado por nacionales cuando cada uno de sus integrantes presente alguno de los documentos indicados en es</w:t>
      </w:r>
      <w:r>
        <w:t>te numeral, según corresponda. A su vez, el representante del Proponente Plural deberá diligenciar el Formato 7A – Promoción de Servicios Nacionales o con Trato Nacional. Cuando uno o varios de sus integrantes no cumplan con las condiciones descritas, el P</w:t>
      </w:r>
      <w:r>
        <w:t>roponente Plural no obtendrá puntaje por Promoción de Servicios Nacionales o Trato Nacional.</w:t>
      </w:r>
    </w:p>
    <w:p w:rsidR="00522688" w:rsidRDefault="00522688"/>
    <w:p w:rsidR="00522688" w:rsidRDefault="004E4FBB">
      <w:pPr>
        <w:pStyle w:val="Ttulo3"/>
        <w:numPr>
          <w:ilvl w:val="2"/>
          <w:numId w:val="15"/>
        </w:numPr>
      </w:pPr>
      <w:bookmarkStart w:id="64" w:name="_heading=h.4bvk7pj" w:colFirst="0" w:colLast="0"/>
      <w:bookmarkEnd w:id="64"/>
      <w:r>
        <w:t>INCORPORACIÓN DE COMPONENTE NACIONAL EN SERVICIOS EXTRANJEROS</w:t>
      </w:r>
    </w:p>
    <w:p w:rsidR="00522688" w:rsidRDefault="00522688"/>
    <w:p w:rsidR="00522688" w:rsidRDefault="004E4FBB">
      <w:r>
        <w:t>La Entidad Estatal asignará cinco (5) puntos a los Proponentes extranjeros sin derecho a Trato Naci</w:t>
      </w:r>
      <w:r>
        <w:t xml:space="preserve">onal o a Proponentes Plurales en los que al menos uno de sus integrantes sea un extranjero sin </w:t>
      </w:r>
      <w:r>
        <w:lastRenderedPageBreak/>
        <w:t>derecho a Trato Nacional, que incorporen a la ejecución del contrato más del noventa por ciento (90 %) del personal técnico, operativo y profesional de origen co</w:t>
      </w:r>
      <w:r>
        <w:t>lombiano.</w:t>
      </w:r>
    </w:p>
    <w:p w:rsidR="00522688" w:rsidRDefault="00522688"/>
    <w:p w:rsidR="00522688" w:rsidRDefault="004E4FBB">
      <w:r>
        <w:t>Por otro lado, el Proponente que ofrezca personal colombiano con títulos académicos otorgados en el exterior deberá acreditar la convalidación de estos títulos en Colombia ante el Ministerio de Educación Nacional. En este sentido, para acreditar los título</w:t>
      </w:r>
      <w:r>
        <w:t>s académicos otorgados en el exterior se requiere presentar la Resolución expedida por el Ministerio de Educación Nacional que convalida el título obtenido en el exterior.</w:t>
      </w:r>
    </w:p>
    <w:p w:rsidR="00522688" w:rsidRDefault="00522688"/>
    <w:p w:rsidR="00522688" w:rsidRDefault="004E4FBB">
      <w:r>
        <w:t>Para recibir el puntaje por incorporación de componente colombiano, el representant</w:t>
      </w:r>
      <w:r>
        <w:t xml:space="preserve">e legal o el apoderado del Proponente deberá diligenciar el Formato 7B – Incorporación de Componente Nacional en Servicios Extranjeros el cual manifieste bajo la gravedad de juramento que incorporará en la ejecución del contrato más del noventa por ciento </w:t>
      </w:r>
      <w:r>
        <w:t>(90%) de personal técnico, operativo y profesional de origen colombiano, en caso de resultar adjudicatario del Proceso de Contratación.</w:t>
      </w:r>
    </w:p>
    <w:p w:rsidR="00522688" w:rsidRDefault="00522688"/>
    <w:p w:rsidR="00522688" w:rsidRDefault="004E4FBB">
      <w:r>
        <w:t>La Entidad Estatal únicamente otorgará el puntaje por promoción de la incorporación de componente nacional cuando el Pr</w:t>
      </w:r>
      <w:r>
        <w:t>oponente que presente el Formato 7B – Incorporación de Componente Nacional en Servicios Extranjeros no haya recibido puntaje alguno por promoción de Servicios Nacionales o con Trato Nacional.</w:t>
      </w:r>
    </w:p>
    <w:p w:rsidR="00522688" w:rsidRDefault="00522688"/>
    <w:p w:rsidR="00522688" w:rsidRDefault="004E4FBB">
      <w:r>
        <w:t>El Formato 7B – Incorporación de Componente Nacional en Servici</w:t>
      </w:r>
      <w:r>
        <w:t>os Extranjeros solo debe ser aportado por los Proponentes extranjeros sin derecho a trato nacional que opten por incorporar personal colombiano. En el evento que un Proponente extranjero sin derecho a Trato a Nacional o un Proponente Plural en el que al me</w:t>
      </w:r>
      <w:r>
        <w:t>nos uno de sus integrantes sea un extranjero sin Trato Nacional, en lugar del Formato 7B – Incorporación de Componente Nacional en Servicios Extranjeros, presente el Formato 7A – Promoción de Servicios Nacionales o con Trato Nacional, no habrá lugar a otor</w:t>
      </w:r>
      <w:r>
        <w:t xml:space="preserve">gar puntaje por el factor del numeral 4.4.1 del documento base ni por el regulado en este numeral. </w:t>
      </w:r>
    </w:p>
    <w:p w:rsidR="00522688" w:rsidRDefault="00522688"/>
    <w:p w:rsidR="00522688" w:rsidRDefault="004E4FBB">
      <w:r>
        <w:t>En caso de no efectuar ningún ofrecimiento, el puntaje por este factor será de cero (0).</w:t>
      </w:r>
    </w:p>
    <w:p w:rsidR="00522688" w:rsidRDefault="00522688"/>
    <w:p w:rsidR="00522688" w:rsidRDefault="004E4FBB">
      <w:pPr>
        <w:pStyle w:val="Ttulo2"/>
        <w:numPr>
          <w:ilvl w:val="1"/>
          <w:numId w:val="15"/>
        </w:numPr>
        <w:ind w:left="709" w:hanging="709"/>
      </w:pPr>
      <w:bookmarkStart w:id="65" w:name="_heading=h.2r0uhxc" w:colFirst="0" w:colLast="0"/>
      <w:bookmarkEnd w:id="65"/>
      <w:r>
        <w:t>VINCULACIÓN DE PERSONAS CON DISCAPACIDAD</w:t>
      </w:r>
    </w:p>
    <w:p w:rsidR="00522688" w:rsidRDefault="00522688"/>
    <w:p w:rsidR="00522688" w:rsidRDefault="004E4FBB">
      <w:r>
        <w:t xml:space="preserve">La Entidad asignará un </w:t>
      </w:r>
      <w:r>
        <w:t>(1) punto al Proponente que acredite el número mínimo de personas con discapacidad de acuerdo con el número total de trabajadores de la planta de su personal en los términos señalados en el artículo 2.2.1.2.4.2.6 del Decreto 1082 de 2015 (adicionado por el</w:t>
      </w:r>
      <w:r>
        <w:t xml:space="preserve"> Decreto 392 de 2018). </w:t>
      </w:r>
    </w:p>
    <w:p w:rsidR="00522688" w:rsidRDefault="00522688"/>
    <w:p w:rsidR="00522688" w:rsidRDefault="004E4FBB">
      <w:r>
        <w:t>Para esto debe presentar: i) el “Formato 6 – Vinculación de personas con discapacidad” suscrito por la persona natural, el representante legal o el revisor fiscal, según corresponda en el cual certifique el número total de trabajad</w:t>
      </w:r>
      <w:r>
        <w:t>ores vinculados a la planta de personal del Proponente o sus integrantes a la fecha de cierre del Proceso de Contratación, ii) acreditar el número mínimo de personas con discapacidad en su planta de personal de conformidad con lo señalado en el certificado</w:t>
      </w:r>
      <w:r>
        <w:t xml:space="preserve"> expedido por el Ministerio de Trabajo, el cual deberá estar vigente a la fecha de cierre del Proceso de Contratación.</w:t>
      </w:r>
    </w:p>
    <w:p w:rsidR="00522688" w:rsidRDefault="00522688"/>
    <w:p w:rsidR="00522688" w:rsidRDefault="004E4FBB">
      <w:r>
        <w:t>Para los Proponentes Plurales, la Entidad tendrá en cuenta la planta de personal del integrante del Proponente Plural que aporte como mí</w:t>
      </w:r>
      <w:r>
        <w:t xml:space="preserve">nimo el cuarenta por ciento (40 %) de la experiencia requerida para el Proceso de Contratación. Este porcentaje de experiencia se tomará sobre el “Valor mínimo a certificar (como % del presupuesto oficial expresado en SMMLV)” de conformidad con el numeral </w:t>
      </w:r>
      <w:r>
        <w:t>3.8.1, sin importar si la experiencia es general o específica.</w:t>
      </w:r>
    </w:p>
    <w:p w:rsidR="00522688" w:rsidRDefault="00522688"/>
    <w:p w:rsidR="00522688" w:rsidRDefault="004E4FBB">
      <w:r>
        <w:t>El “Formato 6”, tratándose de proponentes plurales, debe suscribirlo el integrante del Proponente Plural, ya sea la persona natural o si el integrante es una persona jurídica, por el represent</w:t>
      </w:r>
      <w:r>
        <w:t xml:space="preserve">ante legal </w:t>
      </w:r>
      <w:r>
        <w:lastRenderedPageBreak/>
        <w:t>o revisor fiscal, según corresponda, que aporte como mínimo el cuarenta por ciento (40 %) de la experiencia requerida para el Proceso de Contratación, y que además vincule el mínimo de trabajadores con discapacidad exigido en el Decreto 392 de 2</w:t>
      </w:r>
      <w:r>
        <w:t>018.</w:t>
      </w:r>
    </w:p>
    <w:p w:rsidR="00522688" w:rsidRDefault="00522688"/>
    <w:p w:rsidR="00522688" w:rsidRDefault="004E4FBB">
      <w:pPr>
        <w:pStyle w:val="Ttulo2"/>
        <w:numPr>
          <w:ilvl w:val="1"/>
          <w:numId w:val="15"/>
        </w:numPr>
        <w:ind w:left="709" w:hanging="709"/>
      </w:pPr>
      <w:bookmarkStart w:id="66" w:name="_heading=h.1664s55" w:colFirst="0" w:colLast="0"/>
      <w:bookmarkEnd w:id="66"/>
      <w:r>
        <w:t>EMPRENDIMIENTOS Y EMPRESAS DE MUJERES</w:t>
      </w:r>
    </w:p>
    <w:p w:rsidR="00522688" w:rsidRDefault="00522688"/>
    <w:p w:rsidR="00522688" w:rsidRDefault="004E4FBB">
      <w:r>
        <w:t>En La Entidad asignará un puntaje de cero punto veinticinco (0.25) puntos al Proponente que acredite la calidad de emprendimientos y empresas de mujeres con domicilio en el territorio nacional de conformidad con</w:t>
      </w:r>
      <w:r>
        <w:t xml:space="preserve"> lo previsto en el artículo 2.2.1.2.4.2.14. del Decreto 1082 de 2015 o la norma que lo modifique, sustituya o complemente.</w:t>
      </w:r>
    </w:p>
    <w:p w:rsidR="00522688" w:rsidRDefault="00522688"/>
    <w:p w:rsidR="00522688" w:rsidRDefault="004E4FBB">
      <w:r>
        <w:t>Para que el Proponente obtenga este puntaje debe diligenciar el Formato 13 – Acreditación de emprendimientos y empresas de mujeres y</w:t>
      </w:r>
      <w:r>
        <w:t xml:space="preserve"> aportar la documentación requerida. Si el Proponente debió subsanar la entrega de dicho formato y/o los documentos exigidos para probar esta condición será válido para el criterio diferencial en cuanto al requisito habilitante relacionado con el número de</w:t>
      </w:r>
      <w:r>
        <w:t xml:space="preserve"> contratos aportados para demostrar la experiencia solicitada. Sin embargo, no se tendrán en cuenta para la asignación de puntaje, por lo que obtendrá cero (0) puntos por este factor de evaluación.</w:t>
      </w:r>
    </w:p>
    <w:p w:rsidR="00522688" w:rsidRDefault="00522688"/>
    <w:p w:rsidR="00522688" w:rsidRDefault="004E4FBB">
      <w:r>
        <w:t>Tratándose de Proponentes Plurales este puntaje solo se o</w:t>
      </w:r>
      <w:r>
        <w:t>torgará si por lo menos uno de los integrantes acredita la calidad de emprendimientos y empresas de mujeres y tiene una participación igual o superior al diez por ciento (10 %) en el Consorcio o en la Unión Temporal.</w:t>
      </w:r>
    </w:p>
    <w:p w:rsidR="00522688" w:rsidRDefault="00522688"/>
    <w:p w:rsidR="00522688" w:rsidRDefault="004E4FBB">
      <w:r>
        <w:t>La asignación de este puntaje no excluye la aplicación del puntaje para Mipyme.</w:t>
      </w:r>
    </w:p>
    <w:p w:rsidR="00522688" w:rsidRDefault="00522688"/>
    <w:p w:rsidR="00522688" w:rsidRDefault="004E4FBB">
      <w:pPr>
        <w:pStyle w:val="Ttulo2"/>
        <w:numPr>
          <w:ilvl w:val="1"/>
          <w:numId w:val="15"/>
        </w:numPr>
        <w:ind w:left="709" w:hanging="709"/>
      </w:pPr>
      <w:bookmarkStart w:id="67" w:name="_heading=h.3q5sasy" w:colFirst="0" w:colLast="0"/>
      <w:bookmarkEnd w:id="67"/>
      <w:r>
        <w:t>MIPYME DOMICILIADA EN COLOMBIA</w:t>
      </w:r>
    </w:p>
    <w:p w:rsidR="00522688" w:rsidRDefault="00522688"/>
    <w:p w:rsidR="00522688" w:rsidRDefault="004E4FBB">
      <w:r>
        <w:rPr>
          <w:highlight w:val="lightGray"/>
        </w:rPr>
        <w:t>[En las convocatorias limitadas a Mipyme no aplicará este puntaje adicional. En este caso, los puntos por este concepto se trasladarán al punta</w:t>
      </w:r>
      <w:r>
        <w:rPr>
          <w:highlight w:val="lightGray"/>
        </w:rPr>
        <w:t>je de la Experiencia del Proponente.]</w:t>
      </w:r>
    </w:p>
    <w:p w:rsidR="00522688" w:rsidRDefault="00522688"/>
    <w:p w:rsidR="00522688" w:rsidRDefault="004E4FBB">
      <w:r>
        <w:t xml:space="preserve">La Entidad otorgará un puntaje de cero punto veinticinco puntos (0.25) al Proponente que acredite la calidad de Mipyme domiciliada en Colombia de conformidad con el artículo 2.2.1.2.4.2.4 del Decreto 1082 de 2015, en </w:t>
      </w:r>
      <w:r>
        <w:t>concordancia con el parágrafo del artículo 2.2.1.13.2.4 del Decreto 1074 de 2015, o la norma que lo modifique, complemente o sustituya.</w:t>
      </w:r>
    </w:p>
    <w:p w:rsidR="00522688" w:rsidRDefault="004E4FBB">
      <w:r>
        <w:tab/>
      </w:r>
    </w:p>
    <w:p w:rsidR="00522688" w:rsidRDefault="004E4FBB">
      <w:r>
        <w:t>Así las cosas, para obtener el puntaje, el Proponente entregará copia del certificado del Registro Único de Proponentes, el cual deberá encontrarse vigente y en firme al momento de su presentación. Si el Proponente debió subsanar la entrega del RUP, éste s</w:t>
      </w:r>
      <w:r>
        <w:t>erá válido para los criterios diferenciales en cuanto a los requisitos habilitantes relacionados con el número de contratos aportados para demostrar la experiencia solicitada y los índices de la Capacidad Financiera y Organizacional. Sin embargo, el certif</w:t>
      </w:r>
      <w:r>
        <w:t xml:space="preserve">icado no se tendrá en cuenta para la asignación del puntaje adicional, por lo que obtendrá cero (0) puntos por este factor de evaluación. </w:t>
      </w:r>
    </w:p>
    <w:p w:rsidR="00522688" w:rsidRDefault="00522688"/>
    <w:p w:rsidR="00522688" w:rsidRDefault="004E4FBB">
      <w:r>
        <w:t>Tratándose de Proponentes Plurales este puntaje se otorgará si por lo menos uno de los integrantes acredita la calid</w:t>
      </w:r>
      <w:r>
        <w:t>ad de Mipyme y tiene una participación igual o superior al diez por ciento (10 %) en el Consorcio o en la Unión Temporal.</w:t>
      </w:r>
    </w:p>
    <w:p w:rsidR="00522688" w:rsidRDefault="00522688"/>
    <w:p w:rsidR="00522688" w:rsidRDefault="004E4FBB">
      <w:pPr>
        <w:pStyle w:val="Ttulo2"/>
        <w:numPr>
          <w:ilvl w:val="1"/>
          <w:numId w:val="15"/>
        </w:numPr>
        <w:ind w:left="709" w:hanging="709"/>
      </w:pPr>
      <w:bookmarkStart w:id="68" w:name="_heading=h.25b2l0r" w:colFirst="0" w:colLast="0"/>
      <w:bookmarkEnd w:id="68"/>
      <w:r>
        <w:t>CRITERIOS DE DESEMPATE</w:t>
      </w:r>
    </w:p>
    <w:p w:rsidR="00522688" w:rsidRDefault="00522688"/>
    <w:p w:rsidR="00522688" w:rsidRDefault="004E4FBB">
      <w:r>
        <w:t>En caso de empate en el puntaje total de dos o más ofertas deberán aplicarse las siguientes reglas de acuerdo</w:t>
      </w:r>
      <w:r>
        <w:t xml:space="preserve"> con cada uno de los numerales, de forma sucesiva y excluyente, para seleccionar al Proponente favorecido, respetando en todo caso las obligaciones contenidas en los Acuerdos Comerciales vigentes, especialmente en materia de trato nacional:</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 of</w:t>
      </w:r>
      <w:r>
        <w:rPr>
          <w:color w:val="000000"/>
        </w:rPr>
        <w:t>erta de bienes o servicios nacionales frente a la oferta de bienes o servicios extranjeros. El Proponente acreditará este factor de desempate de acuerdo con las reglas definidas en el numeral 4.4.1 y con los documentos señalados en la sección 4.4.1.1 del P</w:t>
      </w:r>
      <w:r>
        <w:rPr>
          <w:color w:val="000000"/>
        </w:rPr>
        <w:t xml:space="preserve">liego de Condiciones. Por tanto, este criterio de desempate se probará con los mismos documentos que se presentan para el puntaje de apoyo a la industria nacional. Para el caso de los Proponentes Plurales, todos los integrantes deberán demostrar el origen </w:t>
      </w:r>
      <w:r>
        <w:rPr>
          <w:color w:val="000000"/>
        </w:rPr>
        <w:t xml:space="preserve">nacional de la oferta en las condiciones indicadas en los numerales anteriormente citados. </w:t>
      </w:r>
    </w:p>
    <w:p w:rsidR="00522688" w:rsidRDefault="00522688">
      <w:pPr>
        <w:pBdr>
          <w:top w:val="nil"/>
          <w:left w:val="nil"/>
          <w:bottom w:val="nil"/>
          <w:right w:val="nil"/>
          <w:between w:val="nil"/>
        </w:pBdr>
        <w:ind w:left="720"/>
        <w:rPr>
          <w:color w:val="000000"/>
        </w:rPr>
      </w:pPr>
    </w:p>
    <w:p w:rsidR="00522688" w:rsidRDefault="004E4FBB">
      <w:pPr>
        <w:numPr>
          <w:ilvl w:val="0"/>
          <w:numId w:val="7"/>
        </w:numPr>
        <w:pBdr>
          <w:top w:val="nil"/>
          <w:left w:val="nil"/>
          <w:bottom w:val="nil"/>
          <w:right w:val="nil"/>
          <w:between w:val="nil"/>
        </w:pBdr>
        <w:rPr>
          <w:color w:val="000000"/>
        </w:rPr>
      </w:pPr>
      <w:r>
        <w:rPr>
          <w:color w:val="000000"/>
        </w:rPr>
        <w:t>Preferir la propuesta de la mujer cabeza de familia. Su acreditación se realizará en los términos del parágrafo del artículo 2 de la Ley 82 de 1993, modificado por el artículo 1 de la Ley 1232 de 2008, o la norma que lo modifique, aclare, adicione o sustit</w:t>
      </w:r>
      <w:r>
        <w:rPr>
          <w:color w:val="000000"/>
        </w:rPr>
        <w:t>uya, es decir, la condición de mujer cabeza de familia y la cesación de esta se otorgará desde el momento en que ocurra el respectivo evento y se declare ante un notario. Esta certificación debe tener una fecha de expedición no mayor a treinta (30) días ca</w:t>
      </w:r>
      <w:r>
        <w:rPr>
          <w:color w:val="000000"/>
        </w:rPr>
        <w:t>lendario anteriores a la fecha del cierre del Proceso de Contratación y en esta deberá verificarse el cumplimiento de los requisitos indicados en el artículo 1 de la Ley 1232 de 2008. En caso de modificarse la fecha de cierre del proceso, se tendrá como re</w:t>
      </w:r>
      <w:r>
        <w:rPr>
          <w:color w:val="000000"/>
        </w:rPr>
        <w:t>ferencia para establecer el plazo de vigencia del certificado la fecha originalmente establecida en el Pliego de Condiciones definitivo.</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rPr>
        <w:t>Igualmente, se preferirá la propuesta de la mujer víctima de violencia intrafamiliar, la cual acreditará esta condició</w:t>
      </w:r>
      <w:r>
        <w:rPr>
          <w:color w:val="000000"/>
        </w:rPr>
        <w:t>n de conformidad con el artículo 21 de la Ley 1257 de 2008 o la norma que lo modifique, aclare, adicione o sustituya, esto es, cuando se profiera una medida de protección expedida por la autoridad competente. En virtud del artículo 16 de la Ley 1257 de 200</w:t>
      </w:r>
      <w:r>
        <w:rPr>
          <w:color w:val="000000"/>
        </w:rPr>
        <w:t xml:space="preserve">8 o la norma que lo modifique, aclare, adicione o sustituya, la medida de protección la debe impartir el comisario de familia del lugar donde ocurrieron los hechos y, a falta de este, del juez civil municipal o promiscuo municipal, o la autoridad indígena </w:t>
      </w:r>
      <w:r>
        <w:rPr>
          <w:color w:val="000000"/>
        </w:rPr>
        <w:t xml:space="preserve">en los casos de violencia intrafamiliar en las comunidades de esa naturaleza. </w:t>
      </w:r>
    </w:p>
    <w:p w:rsidR="00522688" w:rsidRDefault="00522688"/>
    <w:p w:rsidR="00522688" w:rsidRDefault="004E4FBB">
      <w:pPr>
        <w:pBdr>
          <w:top w:val="nil"/>
          <w:left w:val="nil"/>
          <w:bottom w:val="nil"/>
          <w:right w:val="nil"/>
          <w:between w:val="nil"/>
        </w:pBdr>
        <w:ind w:left="720"/>
        <w:rPr>
          <w:color w:val="000000"/>
        </w:rPr>
      </w:pPr>
      <w:r>
        <w:rPr>
          <w:color w:val="000000"/>
        </w:rPr>
        <w:t>En el caso de las personas jurídicas se preferirá a aquellas en las que participen mayoritariamente mujeres cabeza de familia y/o mujeres víctimas de violencia intrafamiliar, p</w:t>
      </w:r>
      <w:r>
        <w:rPr>
          <w:color w:val="000000"/>
        </w:rPr>
        <w:t>ara lo cual el representante legal o el revisor fiscal, según corresponda, diligenciará el «Formato 11 A – Participación mayoritaria de mujeres cabeza de familia y/o mujeres víctimas de violencia intrafamiliar (persona jurídica)», mediante el cual acredita</w:t>
      </w:r>
      <w:r>
        <w:rPr>
          <w:color w:val="000000"/>
        </w:rPr>
        <w:t>rá, bajo la gravedad del juramento, que más del cincuenta por ciento (50 %) de la composición accionaria o cuota parte de la persona jurídica está constituida por mujeres cabeza de familia y/o mujeres víctimas de violencia intrafamiliar. Además, deberá pro</w:t>
      </w:r>
      <w:r>
        <w:rPr>
          <w:color w:val="000000"/>
        </w:rPr>
        <w:t xml:space="preserve">bar la condición indicada de cada una de las mujeres que participen en la sociedad, aportando los documentos que avalen el cumplimiento de los requisitos, de acuerdo con los dos incisos anteriores. </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rPr>
        <w:t>Finalmente, en el caso de los Proponentes Plurales, se p</w:t>
      </w:r>
      <w:r>
        <w:rPr>
          <w:color w:val="000000"/>
        </w:rPr>
        <w:t>referirá la oferta cuando cada uno de los integrantes acredite alguna de las condiciones señaladas en los incisos anteriores de este numeral.</w:t>
      </w:r>
    </w:p>
    <w:p w:rsidR="00522688" w:rsidRDefault="00522688"/>
    <w:p w:rsidR="00522688" w:rsidRDefault="004E4FBB">
      <w:pPr>
        <w:pBdr>
          <w:top w:val="nil"/>
          <w:left w:val="nil"/>
          <w:bottom w:val="nil"/>
          <w:right w:val="nil"/>
          <w:between w:val="nil"/>
        </w:pBdr>
        <w:ind w:left="720"/>
        <w:rPr>
          <w:color w:val="000000"/>
        </w:rPr>
      </w:pPr>
      <w:r>
        <w:rPr>
          <w:color w:val="000000"/>
        </w:rPr>
        <w:t>Debido a que para el otorgamiento de este criterio de desempate se entregan certificados que contienen datos sens</w:t>
      </w:r>
      <w:r>
        <w:rPr>
          <w:color w:val="000000"/>
        </w:rPr>
        <w:t>ibles, de acuerdo con el artículo 5 de la Ley 1581 de 2012 o la norma que lo modifique, aclare, adicione o sustituya, se requiere que el titular de la información, como son las mujeres víctimas de violencia intrafamiliar, en los términos del literal a) del</w:t>
      </w:r>
      <w:r>
        <w:rPr>
          <w:color w:val="000000"/>
        </w:rPr>
        <w:t xml:space="preserve"> artículo 6 de la Ley 1581 de 2012, diligencien el «Formato 12 – Autorización para el tratamiento de datos personales» mediante el cual autoricen de manera previa y expresa el tratamiento de esta información, como requisito para el otorgamiento del criteri</w:t>
      </w:r>
      <w:r>
        <w:rPr>
          <w:color w:val="000000"/>
        </w:rPr>
        <w:t>o de desempate.</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 propuesta presentada por el Proponente que acredite en las circunstancias establecidas en la ley que por lo menos el diez por ciento (10 %) de su nómina está en condición de discapacidad, de acuerdo con el artículo 24 de la Ley</w:t>
      </w:r>
      <w:r>
        <w:rPr>
          <w:color w:val="000000"/>
        </w:rPr>
        <w:t xml:space="preserve"> 361 de 1997 o la norma que lo modifique, aclare, adicione o sustituya, debidamente certificadas por la oficina del Ministerio del Trabajo de la respectiva zona, que hayan sido contratados con por lo menos un (1) año de anterioridad a la fecha de cierre de</w:t>
      </w:r>
      <w:r>
        <w:rPr>
          <w:color w:val="000000"/>
        </w:rPr>
        <w:t xml:space="preserve">l presente Proceso de Contratación o desde el momento de la constitución de la persona jurídica cuando esta es inferior a un (1) año y que manifieste adicionalmente que mantendrá dicho personal por un lapso igual al término de ejecución del contrato, para </w:t>
      </w:r>
      <w:r>
        <w:rPr>
          <w:color w:val="000000"/>
        </w:rPr>
        <w:t>lo cual deberá diligenciar el «Formato 11 B – Vinculación de personas en condición de discapacidad». En caso de modificarse la fecha de cierre del proceso, se tendrá como referencia para establecer el plazo de vigencia del certificado la fecha originalment</w:t>
      </w:r>
      <w:r>
        <w:rPr>
          <w:color w:val="000000"/>
        </w:rPr>
        <w:t>e contemplada en el Pliego de Condiciones definitivo.</w:t>
      </w:r>
    </w:p>
    <w:p w:rsidR="00522688" w:rsidRDefault="00522688"/>
    <w:p w:rsidR="00522688" w:rsidRDefault="004E4FBB">
      <w:pPr>
        <w:pBdr>
          <w:top w:val="nil"/>
          <w:left w:val="nil"/>
          <w:bottom w:val="nil"/>
          <w:right w:val="nil"/>
          <w:between w:val="nil"/>
        </w:pBdr>
        <w:ind w:left="720"/>
        <w:rPr>
          <w:color w:val="000000"/>
        </w:rPr>
      </w:pPr>
      <w:r>
        <w:rPr>
          <w:color w:val="000000"/>
        </w:rPr>
        <w:t xml:space="preserve">Si la oferta es presentada por un Proponente Plural, el integrante que acredite que el diez por ciento (10 %) de su nómina está en condición de discapacidad, en los términos del presente numeral, debe </w:t>
      </w:r>
      <w:r>
        <w:rPr>
          <w:color w:val="000000"/>
        </w:rPr>
        <w:t xml:space="preserve">tener una participación de por lo menos el veinticinco por ciento (25 %) en la estructura plural y aportar como mínimo el veinticinco por ciento (25 %) de la experiencia acreditada en la oferta. </w:t>
      </w:r>
    </w:p>
    <w:p w:rsidR="00522688" w:rsidRDefault="00522688"/>
    <w:p w:rsidR="00522688" w:rsidRDefault="004E4FBB">
      <w:pPr>
        <w:pBdr>
          <w:top w:val="nil"/>
          <w:left w:val="nil"/>
          <w:bottom w:val="nil"/>
          <w:right w:val="nil"/>
          <w:between w:val="nil"/>
        </w:pBdr>
        <w:ind w:left="720"/>
        <w:rPr>
          <w:color w:val="000000"/>
        </w:rPr>
      </w:pPr>
      <w:r>
        <w:rPr>
          <w:color w:val="000000"/>
        </w:rPr>
        <w:t>El tiempo de vinculación en la planta referida de que trata</w:t>
      </w:r>
      <w:r>
        <w:rPr>
          <w:color w:val="000000"/>
        </w:rPr>
        <w:t xml:space="preserve"> este numeral se acreditará con el certificado de aportes a seguridad social del último año o del tiempo de su constitución cuando su conformación sea inferior a un (1) año, en el que se demuestren los pagos realizados por el empleador. </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 propu</w:t>
      </w:r>
      <w:r>
        <w:rPr>
          <w:color w:val="000000"/>
        </w:rPr>
        <w:t xml:space="preserve">esta presentada por el oferente que acredite la vinculación en mayor proporción de personas que no sean beneficiarios de la pensión de vejez, familiar o de sobrevivencia y que hayan cumplido el requisito de edad de pensión establecido en la ley. Para ello </w:t>
      </w:r>
      <w:r>
        <w:rPr>
          <w:color w:val="000000"/>
        </w:rPr>
        <w:t>la persona natural, el representante legal de la persona jurídica o el revisor fiscal, según corresponda, diligenciará el «Formato 11 C – Vinculación de personas no beneficiarias de la pensión de vejez, familiar o sobrevivencia – (Empleador – Proponente)»,</w:t>
      </w:r>
      <w:r>
        <w:rPr>
          <w:color w:val="000000"/>
        </w:rPr>
        <w:t xml:space="preserve"> mediante la cual certificará bajo la gravedad de juramento las personas vinculadas en su nómina y el número de trabajadores que no son beneficiarios de la pensión de vejez, familiar o de sobrevivencia y que cumplieron el requisito de edad de pensión. Solo</w:t>
      </w:r>
      <w:r>
        <w:rPr>
          <w:color w:val="000000"/>
        </w:rPr>
        <w:t xml:space="preserve"> se valdrá la vinculación de aquellas personas que se encuentren en las condiciones descritas y que hayan estado vinculadas con una anterioridad igual o mayor a un (1) año contado a partir de la fecha del cierre del Proceso de Contratación. Para los casos </w:t>
      </w:r>
      <w:r>
        <w:rPr>
          <w:color w:val="000000"/>
        </w:rPr>
        <w:t>de constitución inferior a un (1) año, se tendrá en cuenta a aquellos que hayan estado vinculados desde el momento de la constitución de la persona jurídica. En caso de modificarse la fecha de cierre del proceso, se tendrá como referencia para establecer e</w:t>
      </w:r>
      <w:r>
        <w:rPr>
          <w:color w:val="000000"/>
        </w:rPr>
        <w:t>l plazo de vigencia del certificado la fecha originalmente contemplada en el Pliego de Condiciones definitivo.</w:t>
      </w:r>
    </w:p>
    <w:p w:rsidR="00522688" w:rsidRDefault="00522688"/>
    <w:p w:rsidR="00522688" w:rsidRDefault="004E4FBB">
      <w:pPr>
        <w:pBdr>
          <w:top w:val="nil"/>
          <w:left w:val="nil"/>
          <w:bottom w:val="nil"/>
          <w:right w:val="nil"/>
          <w:between w:val="nil"/>
        </w:pBdr>
        <w:ind w:left="720"/>
        <w:rPr>
          <w:color w:val="000000"/>
        </w:rPr>
      </w:pPr>
      <w:r>
        <w:rPr>
          <w:color w:val="000000"/>
        </w:rPr>
        <w:t>El tiempo de vinculación en la planta referida de que trata el inciso anterior se acreditará con el certificado de aportes a la seguridad social del último año o del tiempo de constitución de la persona jurídica en caso de que esta sea inferior a un (1) añ</w:t>
      </w:r>
      <w:r>
        <w:rPr>
          <w:color w:val="000000"/>
        </w:rPr>
        <w:t xml:space="preserve">o, en el que se demuestre los pagos realizados por el empleador. </w:t>
      </w:r>
    </w:p>
    <w:p w:rsidR="00522688" w:rsidRDefault="00522688"/>
    <w:p w:rsidR="00522688" w:rsidRDefault="004E4FBB">
      <w:pPr>
        <w:pBdr>
          <w:top w:val="nil"/>
          <w:left w:val="nil"/>
          <w:bottom w:val="nil"/>
          <w:right w:val="nil"/>
          <w:between w:val="nil"/>
        </w:pBdr>
        <w:ind w:left="720"/>
        <w:rPr>
          <w:color w:val="000000"/>
        </w:rPr>
      </w:pPr>
      <w:r>
        <w:rPr>
          <w:color w:val="000000"/>
        </w:rPr>
        <w:t>En el caso de los Proponentes Plurales, su representante legal diligenciará el «Formato 11 C – Vinculación de personas no beneficiarias de la pensión de vejez, familiar o sobrevivencia – (E</w:t>
      </w:r>
      <w:r>
        <w:rPr>
          <w:color w:val="000000"/>
        </w:rPr>
        <w:t>mpleador – Proponente)», mediante el cual certifique el número de trabajadores vinculados que son personas no beneficiarias de la pensión de vejez, familiar o de sobrevivencia, y que cumplieron el requisito de edad de pensión establecido en la ley, de todo</w:t>
      </w:r>
      <w:r>
        <w:rPr>
          <w:color w:val="000000"/>
        </w:rPr>
        <w:t xml:space="preserve">s los integrantes del </w:t>
      </w:r>
      <w:r>
        <w:rPr>
          <w:color w:val="000000"/>
        </w:rPr>
        <w:lastRenderedPageBreak/>
        <w:t>Proponente. Las personas enunciadas anteriormente podrán estar vinculadas a cualquiera de sus integrantes.</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rPr>
        <w:t>En cualquiera de los dos supuestos anteriores, para el otorgamiento del criterio de desempate, cada uno de los trabajadores qu</w:t>
      </w:r>
      <w:r>
        <w:rPr>
          <w:color w:val="000000"/>
        </w:rPr>
        <w:t>e cumpla las condiciones previstas por la ley diligenciará el «Formato 11 C – Vinculación de personas no beneficiarias de la pensión de vejez, familiar o sobrevivencia (Trabajador)», mediante el cual certifica bajo la gravedad del juramento que no es benef</w:t>
      </w:r>
      <w:r>
        <w:rPr>
          <w:color w:val="000000"/>
        </w:rPr>
        <w:t>iciario de pensión de vejez, familiar o sobrevivencia, y cumple la edad de pensión; además, se deberá allegar el documento de identificación del trabajador que lo firma.</w:t>
      </w:r>
    </w:p>
    <w:p w:rsidR="00522688" w:rsidRDefault="00522688"/>
    <w:p w:rsidR="00522688" w:rsidRDefault="004E4FBB">
      <w:pPr>
        <w:pBdr>
          <w:top w:val="nil"/>
          <w:left w:val="nil"/>
          <w:bottom w:val="nil"/>
          <w:right w:val="nil"/>
          <w:between w:val="nil"/>
        </w:pBdr>
        <w:ind w:left="720"/>
        <w:rPr>
          <w:color w:val="000000"/>
        </w:rPr>
      </w:pPr>
      <w:r>
        <w:rPr>
          <w:color w:val="000000"/>
        </w:rPr>
        <w:t>La mayor proporción se definirá en relación con el número total de trabajadores vincu</w:t>
      </w:r>
      <w:r>
        <w:rPr>
          <w:color w:val="000000"/>
        </w:rPr>
        <w:t>lados en la planta de personal, por lo que se preferirá al oferente que acredite un mayor porcentaje. En el caso de Proponentes Plurales, la mayor proporción se definirá con la sumatoria de trabajadores vinculados en la planta de personal de cada uno de su</w:t>
      </w:r>
      <w:r>
        <w:rPr>
          <w:color w:val="000000"/>
        </w:rPr>
        <w:t>s integrantes.</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 propuesta presentada por el oferente que acredite, que por lo menos el diez por ciento (10 %) de su nómina pertenece a población indígena, negra, afrocolombiana, raizal, palanquera, Rrom o gitana, para lo cual, la persona natura</w:t>
      </w:r>
      <w:r>
        <w:rPr>
          <w:color w:val="000000"/>
        </w:rPr>
        <w:t>l, el representante legal o el revisor fiscal, según corresponda, bajo la gravedad de juramento, diligenciará el  «Formato 11 D – Vinculación de población indígena, negra, afrocolombiana, raizal, palenquera, Rrom o gitanas» mediante el cual certifica las p</w:t>
      </w:r>
      <w:r>
        <w:rPr>
          <w:color w:val="000000"/>
        </w:rPr>
        <w:t>ersonas vinculadas a su nómina y el número de identificación y el nombre de las personas que pertenecen a la población indígena, negra, afrocolombiana, raizal, palanquera, Rrom o gitana. Solo se tendrá en cuenta aquellas personas que hayan estado vinculada</w:t>
      </w:r>
      <w:r>
        <w:rPr>
          <w:color w:val="000000"/>
        </w:rPr>
        <w:t>s con una anterioridad igual o mayor a un (1) año contado a partir de la fecha del cierre del proceso. Para los casos de constitución inferior a un (1) año, se valdrá aquellos que hayan estado vinculados desde el momento de la constitución de la persona ju</w:t>
      </w:r>
      <w:r>
        <w:rPr>
          <w:color w:val="000000"/>
        </w:rPr>
        <w:t>rídica. En caso de modificarse la fecha de cierre del proceso, se tendrá como referencia para establecer el plazo de vigencia del certificado la fecha originalmente contemplada en el Pliego de Condiciones definitivo.</w:t>
      </w:r>
    </w:p>
    <w:p w:rsidR="00522688" w:rsidRDefault="00522688"/>
    <w:p w:rsidR="00522688" w:rsidRDefault="004E4FBB">
      <w:pPr>
        <w:pBdr>
          <w:top w:val="nil"/>
          <w:left w:val="nil"/>
          <w:bottom w:val="nil"/>
          <w:right w:val="nil"/>
          <w:between w:val="nil"/>
        </w:pBdr>
        <w:ind w:left="720"/>
        <w:rPr>
          <w:color w:val="000000"/>
        </w:rPr>
      </w:pPr>
      <w:r>
        <w:rPr>
          <w:color w:val="000000"/>
        </w:rPr>
        <w:t xml:space="preserve">El tiempo de vinculación en la planta </w:t>
      </w:r>
      <w:r>
        <w:rPr>
          <w:color w:val="000000"/>
        </w:rPr>
        <w:t>referida de que trata el inciso anterior se acreditará con el certificado de aportes a la seguridad social en el que se demuestren los pagos realizados por el empleador en el último año contado a partir de la fecha del cierre del proceso o del tiempo de su</w:t>
      </w:r>
      <w:r>
        <w:rPr>
          <w:color w:val="000000"/>
        </w:rPr>
        <w:t xml:space="preserve"> constitución cuando esta es inferior a un (1) año. </w:t>
      </w:r>
    </w:p>
    <w:p w:rsidR="00522688" w:rsidRDefault="00522688"/>
    <w:p w:rsidR="00522688" w:rsidRDefault="004E4FBB">
      <w:pPr>
        <w:pBdr>
          <w:top w:val="nil"/>
          <w:left w:val="nil"/>
          <w:bottom w:val="nil"/>
          <w:right w:val="nil"/>
          <w:between w:val="nil"/>
        </w:pBdr>
        <w:ind w:left="720"/>
        <w:rPr>
          <w:color w:val="000000"/>
        </w:rPr>
      </w:pPr>
      <w:r>
        <w:rPr>
          <w:color w:val="000000"/>
        </w:rPr>
        <w:t>Además, deberá aportar la copia de la certificación expedida por el Ministerio del Interior en la cual acredite que los trabajadores pertenecen a la población indígena, negra, afrocolombiana, raizal, pa</w:t>
      </w:r>
      <w:r>
        <w:rPr>
          <w:color w:val="000000"/>
        </w:rPr>
        <w:t>lenquera, Rrom o gitana en los términos del Decreto Ley 2893 de 2011, o la norma que lo modifique, sustituya o complemente.</w:t>
      </w:r>
    </w:p>
    <w:p w:rsidR="00522688" w:rsidRDefault="00522688"/>
    <w:p w:rsidR="00522688" w:rsidRDefault="004E4FBB">
      <w:pPr>
        <w:pBdr>
          <w:top w:val="nil"/>
          <w:left w:val="nil"/>
          <w:bottom w:val="nil"/>
          <w:right w:val="nil"/>
          <w:between w:val="nil"/>
        </w:pBdr>
        <w:ind w:left="720"/>
        <w:rPr>
          <w:color w:val="000000"/>
        </w:rPr>
      </w:pPr>
      <w:r>
        <w:rPr>
          <w:color w:val="000000"/>
        </w:rPr>
        <w:t>En el caso de los Proponentes Plurales, su representante legal diligenciará el «Formato 11 D – Vinculación de población indígena, n</w:t>
      </w:r>
      <w:r>
        <w:rPr>
          <w:color w:val="000000"/>
        </w:rPr>
        <w:t>egra, afrocolombiana, raizal, palenquera, Rrom o gitana», mediante el cual certifica que por lo menos el diez por ciento (10 %) del total de la nómina de sus integrantes pertenece a población indígena, negra, afrocolombiana, raizal, palanquera, Rrom o gita</w:t>
      </w:r>
      <w:r>
        <w:rPr>
          <w:color w:val="000000"/>
        </w:rPr>
        <w:t>na. Este porcentaje se definirá de acuerdo con la sumatoria de la nómina de cada uno de los integrantes del Proponente Plural. Las personas enunciadas anteriormente podrán estar vinculadas a cualquiera de sus integrantes. En todo caso, deberá aportar la co</w:t>
      </w:r>
      <w:r>
        <w:rPr>
          <w:color w:val="000000"/>
        </w:rPr>
        <w:t xml:space="preserve">pia de la certificación expedida por el Ministerio del Interior, en la cual acredite que el trabajador pertenece a la población indígena, negra, afrocolombiana, raizal, palenquera, Rrom o gitana en los términos del Decreto Ley 2893 de 2011, o la norma que </w:t>
      </w:r>
      <w:r>
        <w:rPr>
          <w:color w:val="000000"/>
        </w:rPr>
        <w:t>lo modifique, sustituya o complemente.</w:t>
      </w:r>
    </w:p>
    <w:p w:rsidR="00522688" w:rsidRDefault="00522688"/>
    <w:p w:rsidR="00522688" w:rsidRDefault="004E4FBB">
      <w:pPr>
        <w:pBdr>
          <w:top w:val="nil"/>
          <w:left w:val="nil"/>
          <w:bottom w:val="nil"/>
          <w:right w:val="nil"/>
          <w:between w:val="nil"/>
        </w:pBdr>
        <w:ind w:left="720"/>
        <w:rPr>
          <w:color w:val="000000"/>
        </w:rPr>
      </w:pPr>
      <w:r>
        <w:rPr>
          <w:color w:val="000000"/>
        </w:rPr>
        <w:t>Debido a que para el otorgamiento de este criterio de desempate se entregan certificados que contienen datos sensibles, de acuerdo con el artículo 5 de la Ley 1581 de 2012 o la norma que lo modifique, aclare, adicion</w:t>
      </w:r>
      <w:r>
        <w:rPr>
          <w:color w:val="000000"/>
        </w:rPr>
        <w:t>e o sustituya, se requiere que el titular de la información de estos, como son las personas que pertenecen a la población indígena, negra, afrocolombiana, raizal, palenquera, Rrom o gitana, en los términos del literal a) del artículo 6 de la Ley 1581 de 20</w:t>
      </w:r>
      <w:r>
        <w:rPr>
          <w:color w:val="000000"/>
        </w:rPr>
        <w:t>12, diligencien el «Formato 12- Autorización para el tratamiento de datos personales» mediante el cual autoriza de manera previa y expresa el tratamiento de la información, como requisito para el otorgamiento del criterio de desempate.</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 propuesta de personas naturales en proceso de reintegración o reincorporación para lo cual presentará copia de alguno de los siguientes documentos: i) la certificación en las desmovilizaciones colectivas que expida la Oficina del Alto Comisiona</w:t>
      </w:r>
      <w:r>
        <w:rPr>
          <w:color w:val="000000"/>
        </w:rPr>
        <w:t>do para la Paz, ii) el certificado que emita el Comité Operativo para la Dejación de las Armas respecto de las personas desmovilizadas en forma individual, iii) el certificado que emita la Agencia para la Reincorporación y la Normalización que acredite que</w:t>
      </w:r>
      <w:r>
        <w:rPr>
          <w:color w:val="000000"/>
        </w:rPr>
        <w:t xml:space="preserve"> la persona se encuentra en proceso de reincorporación o reintegración o iv) cualquier otro certificado que para el efecto determine la Ley. Además, se entregará copia del documento de identificación de la persona en proceso de reintegración o reincorporac</w:t>
      </w:r>
      <w:r>
        <w:rPr>
          <w:color w:val="000000"/>
        </w:rPr>
        <w:t>ión.</w:t>
      </w:r>
    </w:p>
    <w:p w:rsidR="00522688" w:rsidRDefault="00522688"/>
    <w:p w:rsidR="00522688" w:rsidRDefault="004E4FBB">
      <w:pPr>
        <w:pBdr>
          <w:top w:val="nil"/>
          <w:left w:val="nil"/>
          <w:bottom w:val="nil"/>
          <w:right w:val="nil"/>
          <w:between w:val="nil"/>
        </w:pBdr>
        <w:ind w:left="720"/>
        <w:rPr>
          <w:color w:val="000000"/>
        </w:rPr>
      </w:pPr>
      <w:r>
        <w:rPr>
          <w:color w:val="000000"/>
        </w:rPr>
        <w:t>En el caso de las personas jurídicas, el representante legal o el revisor fiscal, si están obligados a tenerlo, diligenciarán el «Formato 11 E- Participación mayoritaria de personas en proceso de reincorporación y/o reintegración (personas jurídicas)</w:t>
      </w:r>
      <w:r>
        <w:rPr>
          <w:color w:val="000000"/>
        </w:rPr>
        <w:t>», por medio del cual certificarán bajo la gravedad del juramento que más del cincuenta por ciento (50 %) de la composición accionaria o cuotas partes de la persona jurídica está constituida por personas en proceso de reintegración o reincorporación. Ademá</w:t>
      </w:r>
      <w:r>
        <w:rPr>
          <w:color w:val="000000"/>
        </w:rPr>
        <w:t>s, deberá aportar alguno de los certificados del inciso anterior, junto con los documentos de identificación de cada una de las personas que está en proceso de reincorporación o reintegración.</w:t>
      </w:r>
    </w:p>
    <w:p w:rsidR="00522688" w:rsidRDefault="00522688"/>
    <w:p w:rsidR="00522688" w:rsidRDefault="004E4FBB">
      <w:pPr>
        <w:pBdr>
          <w:top w:val="nil"/>
          <w:left w:val="nil"/>
          <w:bottom w:val="nil"/>
          <w:right w:val="nil"/>
          <w:between w:val="nil"/>
        </w:pBdr>
        <w:ind w:left="720"/>
        <w:rPr>
          <w:color w:val="000000"/>
        </w:rPr>
      </w:pPr>
      <w:r>
        <w:rPr>
          <w:color w:val="000000"/>
        </w:rPr>
        <w:t>Tratándose de Proponentes Plurales, se preferirá la oferta cua</w:t>
      </w:r>
      <w:r>
        <w:rPr>
          <w:color w:val="000000"/>
        </w:rPr>
        <w:t xml:space="preserve">ndo todos los integrantes sean personas en proceso de reincorporación, para lo cual se entregará alguno de los certificados del inciso primero de este numeral, y/o personas jurídicas donde más del cincuenta por ciento (50 %) de la composición accionaria o </w:t>
      </w:r>
      <w:r>
        <w:rPr>
          <w:color w:val="000000"/>
        </w:rPr>
        <w:t>cuotas partes esté constituida por personas en proceso de reincorporación, para lo que el representante legal, o el revisor fiscal, si está obligado a tenerlo, diligenciarán, bajo la gravedad del juramento, el «Formato 11 E – Participación mayoritaria de p</w:t>
      </w:r>
      <w:r>
        <w:rPr>
          <w:color w:val="000000"/>
        </w:rPr>
        <w:t>ersonas en proceso de reincorporación (personas jurídica integrante del Proponente Plural)», y aportará los documentos de identificación de las personas en proceso de reincorporación.</w:t>
      </w:r>
    </w:p>
    <w:p w:rsidR="00522688" w:rsidRDefault="00522688"/>
    <w:p w:rsidR="00522688" w:rsidRDefault="004E4FBB">
      <w:pPr>
        <w:pBdr>
          <w:top w:val="nil"/>
          <w:left w:val="nil"/>
          <w:bottom w:val="nil"/>
          <w:right w:val="nil"/>
          <w:between w:val="nil"/>
        </w:pBdr>
        <w:ind w:left="720"/>
        <w:rPr>
          <w:color w:val="000000"/>
        </w:rPr>
      </w:pPr>
      <w:r>
        <w:rPr>
          <w:color w:val="000000"/>
        </w:rPr>
        <w:t>Debido a que para el otorgamiento de este criterio de desempate se entr</w:t>
      </w:r>
      <w:r>
        <w:rPr>
          <w:color w:val="000000"/>
        </w:rPr>
        <w:t>egan certificados que contienen datos sensibles, de acuerdo con el artículo 5 de la Ley 1581 de 2012 o la norma que lo modifique, aclare, adicione o sustituya, se requiere que el titular de la información, como son las personas en proceso de reincorporació</w:t>
      </w:r>
      <w:r>
        <w:rPr>
          <w:color w:val="000000"/>
        </w:rPr>
        <w:t>n o reintegración, en los términos del literal a) del artículo 6 de la Ley 1581 de 2012, diligencien el «Formato 12- Autorización para el tratamiento de datos personales» mediante el cual autoriza de manera previa y expresa el tratamiento de la información</w:t>
      </w:r>
      <w:r>
        <w:rPr>
          <w:color w:val="000000"/>
        </w:rPr>
        <w:t xml:space="preserve">, como requisito para el otorgamiento del criterio de desempate. </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 oferta presentada por un Proponente Plural siempre que se cumplan las condiciones de los siguientes literales:</w:t>
      </w:r>
    </w:p>
    <w:p w:rsidR="00522688" w:rsidRDefault="00522688"/>
    <w:p w:rsidR="00522688" w:rsidRDefault="004E4FBB">
      <w:pPr>
        <w:numPr>
          <w:ilvl w:val="0"/>
          <w:numId w:val="9"/>
        </w:numPr>
        <w:pBdr>
          <w:top w:val="nil"/>
          <w:left w:val="nil"/>
          <w:bottom w:val="nil"/>
          <w:right w:val="nil"/>
          <w:between w:val="nil"/>
        </w:pBdr>
        <w:rPr>
          <w:color w:val="000000"/>
        </w:rPr>
      </w:pPr>
      <w:r>
        <w:rPr>
          <w:color w:val="000000"/>
        </w:rPr>
        <w:t xml:space="preserve">Esté conformado por al menos una madre cabeza de familia y/o una </w:t>
      </w:r>
      <w:r>
        <w:rPr>
          <w:color w:val="000000"/>
        </w:rPr>
        <w:t xml:space="preserve">persona en proceso de reincorporación o reintegración, para lo cual se acreditarán estas condiciones de </w:t>
      </w:r>
      <w:r>
        <w:rPr>
          <w:color w:val="000000"/>
        </w:rPr>
        <w:lastRenderedPageBreak/>
        <w:t xml:space="preserve">acuerdo con lo previsto en el inciso 1 del numeral 2 y/o el inciso 1 del numeral 6, de los criterios de desempate del presente Pliego de Condiciones; o </w:t>
      </w:r>
      <w:r>
        <w:rPr>
          <w:color w:val="000000"/>
        </w:rPr>
        <w:t>por una persona jurídica en la cual participe o participen mayoritariamente madres cabeza de familia y/o personas en proceso de reincorporación o reintegración, para lo cual el representante legal o el revisor fiscal, si están obligados a tenerlo, diligenc</w:t>
      </w:r>
      <w:r>
        <w:rPr>
          <w:color w:val="000000"/>
        </w:rPr>
        <w:t>iará el «Formato 11 F – Participación mayoritaria de mujeres cabeza de familia y/o personas en proceso de reincorporación o reintegración (personas jurídicas)», mediante el cual certifica, bajo la gravedad del juramento, que más del cincuenta por ciento (5</w:t>
      </w:r>
      <w:r>
        <w:rPr>
          <w:color w:val="000000"/>
        </w:rPr>
        <w:t>0 %) de la composición accionaria o cuota parte de la persona jurídica está constituida por madres cabeza de familia y/o personas en proceso de reincorporación o reintegración. Además, deberá acreditar la condición indicada de las personas que participe en</w:t>
      </w:r>
      <w:r>
        <w:rPr>
          <w:color w:val="000000"/>
        </w:rPr>
        <w:t xml:space="preserve"> la sociedad que sean mujeres cabeza de familia y/o personas en proceso de reincorporación o reintegración, allegando los documentos de cada uno de ellos, de acuerdo con lo previsto en este literal. Este integrante debe tener una participación de por lo me</w:t>
      </w:r>
      <w:r>
        <w:rPr>
          <w:color w:val="000000"/>
        </w:rPr>
        <w:t>nos el veinticinco por ciento (25 %) en el Proponente Plural.</w:t>
      </w:r>
    </w:p>
    <w:p w:rsidR="00522688" w:rsidRDefault="00522688"/>
    <w:p w:rsidR="00522688" w:rsidRDefault="004E4FBB">
      <w:pPr>
        <w:numPr>
          <w:ilvl w:val="0"/>
          <w:numId w:val="9"/>
        </w:numPr>
        <w:pBdr>
          <w:top w:val="nil"/>
          <w:left w:val="nil"/>
          <w:bottom w:val="nil"/>
          <w:right w:val="nil"/>
          <w:between w:val="nil"/>
        </w:pBdr>
        <w:rPr>
          <w:color w:val="000000"/>
        </w:rPr>
      </w:pPr>
      <w:r>
        <w:rPr>
          <w:color w:val="000000"/>
        </w:rPr>
        <w:t xml:space="preserve">el integrante del Proponente Plural de que trata el anterior literal debe aportar mínimo el veinticinco por ciento (25 %) de la experiencia acreditada en la oferta. </w:t>
      </w:r>
    </w:p>
    <w:p w:rsidR="00522688" w:rsidRDefault="00522688"/>
    <w:p w:rsidR="00522688" w:rsidRDefault="004E4FBB">
      <w:pPr>
        <w:numPr>
          <w:ilvl w:val="0"/>
          <w:numId w:val="9"/>
        </w:numPr>
        <w:pBdr>
          <w:top w:val="nil"/>
          <w:left w:val="nil"/>
          <w:bottom w:val="nil"/>
          <w:right w:val="nil"/>
          <w:between w:val="nil"/>
        </w:pBdr>
        <w:rPr>
          <w:color w:val="000000"/>
        </w:rPr>
      </w:pPr>
      <w:r>
        <w:rPr>
          <w:color w:val="000000"/>
        </w:rPr>
        <w:t>en relación con el integrante del literal a) ni la madre cabeza de familia o la persona en proceso de reincorporación o reintegración, ni la persona jurídica, ni sus accionistas, socios o representantes legales podrán ser empleados, socios o accionistas de</w:t>
      </w:r>
      <w:r>
        <w:rPr>
          <w:color w:val="000000"/>
        </w:rPr>
        <w:t xml:space="preserve"> otro de los integrantes del Proponente Plural, para lo cual el integrante persona natural o el representante legal de la persona jurídica de que trata el literal a) lo manifestará diligenciando el «Formato 11 F Participación mayoritaria de mujeres cabeza </w:t>
      </w:r>
      <w:r>
        <w:rPr>
          <w:color w:val="000000"/>
        </w:rPr>
        <w:t xml:space="preserve">de familia y/o personas en proceso de reincorporación y/o reintegración». </w:t>
      </w:r>
    </w:p>
    <w:p w:rsidR="00522688" w:rsidRDefault="00522688"/>
    <w:p w:rsidR="00522688" w:rsidRDefault="004E4FBB">
      <w:pPr>
        <w:pBdr>
          <w:top w:val="nil"/>
          <w:left w:val="nil"/>
          <w:bottom w:val="nil"/>
          <w:right w:val="nil"/>
          <w:between w:val="nil"/>
        </w:pBdr>
        <w:ind w:left="720"/>
        <w:rPr>
          <w:color w:val="000000"/>
        </w:rPr>
      </w:pPr>
      <w:r>
        <w:rPr>
          <w:color w:val="000000"/>
        </w:rPr>
        <w:t>Debido a que para el otorgamiento de este criterio de desempate se entregan certificados que contienen datos sensibles, de acuerdo con el artículo 5 de la Ley 1581 de 2012 o la nor</w:t>
      </w:r>
      <w:r>
        <w:rPr>
          <w:color w:val="000000"/>
        </w:rPr>
        <w:t>ma que lo modifique, aclare, adiciona o sustituya, se requiere que el titular de la información, como son las personas en proceso de reincorporación y/o reintegración, en los términos del literal a) del artículo 6 de la Ley 1581 de 2012, diligencien el «Fo</w:t>
      </w:r>
      <w:r>
        <w:rPr>
          <w:color w:val="000000"/>
        </w:rPr>
        <w:t xml:space="preserve">rmato 12- Autorización para el tratamiento de datos personales» mediante el cual autoriza de manera previa y expresa el tratamiento de esta información, como requisito para el otorgamiento del criterio de desempate. </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 xml:space="preserve">Preferir la oferta presentada por una </w:t>
      </w:r>
      <w:r>
        <w:rPr>
          <w:color w:val="000000"/>
        </w:rPr>
        <w:t>Mipyme, lo cual se verificará en los términos del parágrafo del artículo 2.2.1.2.4.2.4 del Decreto 1082 de 2015, en concordancia con el parágrafo del artículo 2.2.1.13.2.4 del Decreto 1074 de 2015. En este sentido, el tamaño empresarial se acreditará con l</w:t>
      </w:r>
      <w:r>
        <w:rPr>
          <w:color w:val="000000"/>
        </w:rPr>
        <w:t xml:space="preserve">a copia del certificado del Registro Único de Proponentes, el cual deberá encontrarse vigente y en firme al momento de su presentación. </w:t>
      </w:r>
    </w:p>
    <w:p w:rsidR="00522688" w:rsidRDefault="00522688"/>
    <w:p w:rsidR="00522688" w:rsidRDefault="004E4FBB">
      <w:pPr>
        <w:pBdr>
          <w:top w:val="nil"/>
          <w:left w:val="nil"/>
          <w:bottom w:val="nil"/>
          <w:right w:val="nil"/>
          <w:between w:val="nil"/>
        </w:pBdr>
        <w:ind w:left="720"/>
        <w:rPr>
          <w:color w:val="000000"/>
        </w:rPr>
      </w:pPr>
      <w:r>
        <w:rPr>
          <w:color w:val="000000"/>
        </w:rPr>
        <w:t>Asimismo, se preferirá la oferta presentada por una cooperativa o asociaciones mutuales para lo cual se aportará el ce</w:t>
      </w:r>
      <w:r>
        <w:rPr>
          <w:color w:val="000000"/>
        </w:rPr>
        <w:t xml:space="preserve">rtificado de existencia y representación legal expedido por la cámara de comercio o la autoridad respectiva. En el caso específico en que el empate se presente entre cooperativas o asociaciones mutuales que tengan el tamaño empresarial de grandes empresas </w:t>
      </w:r>
      <w:r>
        <w:rPr>
          <w:color w:val="000000"/>
        </w:rPr>
        <w:t>junto con micro, pequeñas o medianas, se preferirá la oferta de las cooperativas o asociaciones mutuales que cumplan con los criterios de clasificación empresarial definidos por el Decreto 1074 de 2015 o la norma que lo modifique, aclare, adicione o sustit</w:t>
      </w:r>
      <w:r>
        <w:rPr>
          <w:color w:val="000000"/>
        </w:rPr>
        <w:t>uya, que sean micro, pequeñas o medianas.</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rPr>
        <w:t xml:space="preserve">Tratándose de Proponentes Plurales, se preferirá la oferta cuando cada uno de los integrantes acredite alguna de las condiciones señaladas en los incisos anteriores de este numeral. En </w:t>
      </w:r>
      <w:r>
        <w:rPr>
          <w:color w:val="000000"/>
        </w:rPr>
        <w:lastRenderedPageBreak/>
        <w:t>el evento en que se presente</w:t>
      </w:r>
      <w:r>
        <w:rPr>
          <w:color w:val="000000"/>
        </w:rPr>
        <w:t xml:space="preserve"> empate entre Proponentes Plurales cuyos integrantes estén conformados únicamente por cooperativas y asociaciones mutuales que tengan la calidad de grandes empresas junto con otras en las que los integrantes tengan la condición de micro, pequeñas o mediana</w:t>
      </w:r>
      <w:r>
        <w:rPr>
          <w:color w:val="000000"/>
        </w:rPr>
        <w:t xml:space="preserve">s, se preferirá la oferta de aquellos Proponentes Plurales en los cuales al menos uno de sus integrantes sea una cooperativa o asociación mutual que cumpla con los criterios de clasificación empresarial definidos por el Decreto 1074 de 2015 o la norma que </w:t>
      </w:r>
      <w:r>
        <w:rPr>
          <w:color w:val="000000"/>
        </w:rPr>
        <w:t>lo modifique, aclare, adicione o sustituya, que sean micro, pequeñas o medianas.</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 xml:space="preserve">Preferir la oferta presentada por el Proponente Plural constituido en su totalidad por micro y/o pequeñas empresas, cooperativas o asociaciones mutuales. </w:t>
      </w:r>
    </w:p>
    <w:p w:rsidR="00522688" w:rsidRDefault="00522688"/>
    <w:p w:rsidR="00522688" w:rsidRDefault="004E4FBB">
      <w:pPr>
        <w:pBdr>
          <w:top w:val="nil"/>
          <w:left w:val="nil"/>
          <w:bottom w:val="nil"/>
          <w:right w:val="nil"/>
          <w:between w:val="nil"/>
        </w:pBdr>
        <w:ind w:left="720"/>
        <w:rPr>
          <w:color w:val="000000"/>
        </w:rPr>
      </w:pPr>
      <w:r>
        <w:rPr>
          <w:color w:val="000000"/>
        </w:rPr>
        <w:t>La condición de micro o pequeña empresa se verificará en los términos del artículo 2.2.1.2.4.2.4 del Decreto 1082 de 2015, en concordancia con el parágrafo del artículo 2.2.1.13.2.4 del Decreto 1074 de 2015, esto es, el tamaño empresarial se acreditará con</w:t>
      </w:r>
      <w:r>
        <w:rPr>
          <w:color w:val="000000"/>
        </w:rPr>
        <w:t xml:space="preserve"> la copia del certificado del Registro Único de Proponentes, el cual deberá encontrarse vigente y en firme al momento de su presentación. </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rPr>
        <w:t>La condición de cooperativa o asociación mutual se acreditará con el certificado de existencia y representación lega</w:t>
      </w:r>
      <w:r>
        <w:rPr>
          <w:color w:val="000000"/>
        </w:rPr>
        <w:t>l expedido por la cámara de comercio o la autoridad respectiva. En el evento en que el empate se presente entre Proponentes Plurales cuyos integrantes estén conformados únicamente por cooperativas y asociaciones mutuales que tengan la calidad de grandes em</w:t>
      </w:r>
      <w:r>
        <w:rPr>
          <w:color w:val="000000"/>
        </w:rPr>
        <w:t xml:space="preserve">presas junto con otras en las que los integrantes tengan la calidad de micro, pequeñas o medianas, se preferirá la oferta de aquellos Proponentes Plurales en los cuales al menos uno de sus integrantes sea una cooperativa o asociación mutual que cumpla con </w:t>
      </w:r>
      <w:r>
        <w:rPr>
          <w:color w:val="000000"/>
        </w:rPr>
        <w:t>los criterios de clasificación empresarial definidos por el Decreto 1074 de 2015 o la norma que lo modifique, aclare, adicione o sustituya, que sean micro, pequeñas o medianas.</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al oferente persona natural o jurídica que acredite, de acuerdo con s</w:t>
      </w:r>
      <w:r>
        <w:rPr>
          <w:color w:val="000000"/>
        </w:rPr>
        <w:t>us estados financieros o información contable con corte al 31 de diciembre del año anterior, que por lo menos el veinticinco por ciento (25 %) del total de sus pagos fueron realizados a Mipyme, cooperativas o asociaciones mutuales por concepto de proveedur</w:t>
      </w:r>
      <w:r>
        <w:rPr>
          <w:color w:val="000000"/>
        </w:rPr>
        <w:t>ía del oferente, efectuados durante el año anterior, para lo cual el Proponente persona natural y contador público; o el representante legal de la persona jurídica y el revisor fiscal para las personas obligadas por ley; o del representante legal de la per</w:t>
      </w:r>
      <w:r>
        <w:rPr>
          <w:color w:val="000000"/>
        </w:rPr>
        <w:t>sona jurídica y contador público, según corresponda, diligenciará bajo la gravedad del juramento el «Formato 11 G- Pagos realizados a Mipyme, cooperativas o asociaciones mutuales», en el que conste que por lo menos el veinticinco por ciento (25%) del total</w:t>
      </w:r>
      <w:r>
        <w:rPr>
          <w:color w:val="000000"/>
        </w:rPr>
        <w:t xml:space="preserve"> de pagos fueron realizados a Mipyme, cooperativas o asociaciones mutuales. </w:t>
      </w:r>
    </w:p>
    <w:p w:rsidR="00522688" w:rsidRDefault="00522688"/>
    <w:p w:rsidR="00522688" w:rsidRDefault="004E4FBB">
      <w:pPr>
        <w:pBdr>
          <w:top w:val="nil"/>
          <w:left w:val="nil"/>
          <w:bottom w:val="nil"/>
          <w:right w:val="nil"/>
          <w:between w:val="nil"/>
        </w:pBdr>
        <w:ind w:left="720"/>
        <w:rPr>
          <w:color w:val="000000"/>
        </w:rPr>
      </w:pPr>
      <w:r>
        <w:rPr>
          <w:color w:val="000000"/>
        </w:rPr>
        <w:t xml:space="preserve">Igualmente, cuando la oferta es presentada por un Proponente Plural se preferirá a este siempre que: </w:t>
      </w:r>
    </w:p>
    <w:p w:rsidR="00522688" w:rsidRDefault="00522688"/>
    <w:p w:rsidR="00522688" w:rsidRDefault="004E4FBB">
      <w:pPr>
        <w:numPr>
          <w:ilvl w:val="0"/>
          <w:numId w:val="10"/>
        </w:numPr>
        <w:pBdr>
          <w:top w:val="nil"/>
          <w:left w:val="nil"/>
          <w:bottom w:val="nil"/>
          <w:right w:val="nil"/>
          <w:between w:val="nil"/>
        </w:pBdr>
        <w:ind w:left="1134" w:hanging="425"/>
        <w:rPr>
          <w:color w:val="000000"/>
        </w:rPr>
      </w:pPr>
      <w:r>
        <w:rPr>
          <w:color w:val="000000"/>
        </w:rPr>
        <w:t xml:space="preserve">esté conformado por al menos una Mipyme, cooperativa o asociación mutual que tenga una participación de por lo menos el veinticinco por ciento (25 %) en el Proponente Plural, para lo cual se presentará el documento de conformación del Proponente Plural y, </w:t>
      </w:r>
      <w:r>
        <w:rPr>
          <w:color w:val="000000"/>
        </w:rPr>
        <w:t>además, ese integrante acredite la condición de Mipyme, cooperativa o asociación mutual en los términos del numeral 8;</w:t>
      </w:r>
    </w:p>
    <w:p w:rsidR="00522688" w:rsidRDefault="00522688"/>
    <w:p w:rsidR="00522688" w:rsidRDefault="004E4FBB">
      <w:pPr>
        <w:numPr>
          <w:ilvl w:val="0"/>
          <w:numId w:val="10"/>
        </w:numPr>
        <w:pBdr>
          <w:top w:val="nil"/>
          <w:left w:val="nil"/>
          <w:bottom w:val="nil"/>
          <w:right w:val="nil"/>
          <w:between w:val="nil"/>
        </w:pBdr>
        <w:ind w:left="1134" w:hanging="425"/>
        <w:rPr>
          <w:color w:val="000000"/>
        </w:rPr>
      </w:pPr>
      <w:r>
        <w:rPr>
          <w:color w:val="000000"/>
        </w:rPr>
        <w:t xml:space="preserve">la Mipyme, cooperativa o asociación mutual aporte mínimo el veinticinco por ciento (25 %) de la experiencia acreditada en la oferta; y </w:t>
      </w:r>
    </w:p>
    <w:p w:rsidR="00522688" w:rsidRDefault="00522688"/>
    <w:p w:rsidR="00522688" w:rsidRDefault="004E4FBB">
      <w:pPr>
        <w:numPr>
          <w:ilvl w:val="0"/>
          <w:numId w:val="10"/>
        </w:numPr>
        <w:pBdr>
          <w:top w:val="nil"/>
          <w:left w:val="nil"/>
          <w:bottom w:val="nil"/>
          <w:right w:val="nil"/>
          <w:between w:val="nil"/>
        </w:pBdr>
        <w:ind w:left="1134" w:hanging="425"/>
        <w:rPr>
          <w:color w:val="000000"/>
        </w:rPr>
      </w:pPr>
      <w:r>
        <w:rPr>
          <w:color w:val="000000"/>
        </w:rPr>
        <w:lastRenderedPageBreak/>
        <w:t>ni la Mipyme, cooperativa o asociación mutual ni sus accionistas, socios o representantes legales sean empleados, socios o accionistas de los integrantes del Proponente Plural, para lo cual el integrante respectivo lo manifestará diligenciando el «Formato</w:t>
      </w:r>
      <w:r>
        <w:rPr>
          <w:color w:val="000000"/>
        </w:rPr>
        <w:t xml:space="preserve"> 11 H – Acreditación Mipyme», suscrito por la persona natural o el representante legal de la persona jurídica. </w:t>
      </w:r>
    </w:p>
    <w:p w:rsidR="00522688" w:rsidRDefault="00522688"/>
    <w:p w:rsidR="00522688" w:rsidRDefault="004E4FBB">
      <w:pPr>
        <w:pBdr>
          <w:top w:val="nil"/>
          <w:left w:val="nil"/>
          <w:bottom w:val="nil"/>
          <w:right w:val="nil"/>
          <w:between w:val="nil"/>
        </w:pBdr>
        <w:ind w:left="720"/>
        <w:rPr>
          <w:color w:val="000000"/>
        </w:rPr>
      </w:pPr>
      <w:r>
        <w:rPr>
          <w:color w:val="000000"/>
        </w:rPr>
        <w:t>En el evento en que el empate se presente entre Proponentes Plurales, que cumplan con los requisitos de los incisos anteriores, cuyos integrant</w:t>
      </w:r>
      <w:r>
        <w:rPr>
          <w:color w:val="000000"/>
        </w:rPr>
        <w:t xml:space="preserve">es estén conformados únicamente por cooperativas y asociaciones mutuales que tengan la condición de grandes empresas junto con otras en las que los integrantes tengan la calidad de micro, pequeñas o medianas, se preferirá la oferta de aquellos Proponentes </w:t>
      </w:r>
      <w:r>
        <w:rPr>
          <w:color w:val="000000"/>
        </w:rPr>
        <w:t>Plurales en los cuáles al menos uno de sus integrantes sea una cooperativa o asociación mutual que cumpla con los criterios de clasificación empresarial definidos por el Decreto 1074 de 2015, que sean micro, pequeñas o medianas.</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Preferir las empresas reco</w:t>
      </w:r>
      <w:r>
        <w:rPr>
          <w:color w:val="000000"/>
        </w:rPr>
        <w:t>nocidas y establecidas como Sociedad de Beneficio e Interés Colectivo o Sociedad BIC, del segmento Mipyme, para lo cual se presentará el certificado de existencia y representación legal en el que conste el cumplimiento de los requisitos del artículo 2 de l</w:t>
      </w:r>
      <w:r>
        <w:rPr>
          <w:color w:val="000000"/>
        </w:rPr>
        <w:t xml:space="preserve">a Ley 1901 de 2018, o la norma que la modifique o la sustituya. Asimismo, acreditará la condición de Mipyme en los términos del numeral 8. </w:t>
      </w:r>
    </w:p>
    <w:p w:rsidR="00522688" w:rsidRDefault="00522688"/>
    <w:p w:rsidR="00522688" w:rsidRDefault="004E4FBB">
      <w:pPr>
        <w:pBdr>
          <w:top w:val="nil"/>
          <w:left w:val="nil"/>
          <w:bottom w:val="nil"/>
          <w:right w:val="nil"/>
          <w:between w:val="nil"/>
        </w:pBdr>
        <w:ind w:left="720"/>
        <w:rPr>
          <w:color w:val="000000"/>
        </w:rPr>
      </w:pPr>
      <w:r>
        <w:rPr>
          <w:color w:val="000000"/>
        </w:rPr>
        <w:t>Tratándose de Proponentes Plurales, se preferirá la oferta cuando cada uno de los integrantes acredite las condicio</w:t>
      </w:r>
      <w:r>
        <w:rPr>
          <w:color w:val="000000"/>
        </w:rPr>
        <w:t>nes señaladas en el inciso anterior de este numeral.</w:t>
      </w:r>
    </w:p>
    <w:p w:rsidR="00522688" w:rsidRDefault="00522688"/>
    <w:p w:rsidR="00522688" w:rsidRDefault="004E4FBB">
      <w:pPr>
        <w:numPr>
          <w:ilvl w:val="0"/>
          <w:numId w:val="7"/>
        </w:numPr>
        <w:pBdr>
          <w:top w:val="nil"/>
          <w:left w:val="nil"/>
          <w:bottom w:val="nil"/>
          <w:right w:val="nil"/>
          <w:between w:val="nil"/>
        </w:pBdr>
        <w:rPr>
          <w:color w:val="000000"/>
        </w:rPr>
      </w:pPr>
      <w:r>
        <w:rPr>
          <w:color w:val="000000"/>
        </w:rPr>
        <w:t>Si después de aplicar los criterios anteriormente mencionados persiste el empate:</w:t>
      </w:r>
    </w:p>
    <w:p w:rsidR="00522688" w:rsidRDefault="00522688"/>
    <w:p w:rsidR="00522688" w:rsidRDefault="004E4FBB">
      <w:pPr>
        <w:numPr>
          <w:ilvl w:val="0"/>
          <w:numId w:val="12"/>
        </w:numPr>
        <w:pBdr>
          <w:top w:val="nil"/>
          <w:left w:val="nil"/>
          <w:bottom w:val="nil"/>
          <w:right w:val="nil"/>
          <w:between w:val="nil"/>
        </w:pBdr>
        <w:ind w:left="1134" w:hanging="425"/>
        <w:rPr>
          <w:color w:val="000000"/>
        </w:rPr>
      </w:pPr>
      <w:r>
        <w:rPr>
          <w:color w:val="000000"/>
        </w:rPr>
        <w:t>La Entidad ordenará a los Proponentes empatados en orden alfabético según el nombre completo de la persona natural, la persona jurídica o el Proponente Plural. En caso de que dos o más proponentes tengan el mismo nombre se colocará primero en el orden a qu</w:t>
      </w:r>
      <w:r>
        <w:rPr>
          <w:color w:val="000000"/>
        </w:rPr>
        <w:t>ienes hayan presentado primero en el tiempo sus ofertas. Una vez ordenados, le asignará un número entero a cada uno de estos de forma ascendente, de tal manera que al primero de la lista le corresponda el 1.</w:t>
      </w:r>
    </w:p>
    <w:p w:rsidR="00522688" w:rsidRDefault="00522688"/>
    <w:p w:rsidR="00522688" w:rsidRDefault="004E4FBB">
      <w:pPr>
        <w:numPr>
          <w:ilvl w:val="0"/>
          <w:numId w:val="12"/>
        </w:numPr>
        <w:pBdr>
          <w:top w:val="nil"/>
          <w:left w:val="nil"/>
          <w:bottom w:val="nil"/>
          <w:right w:val="nil"/>
          <w:between w:val="nil"/>
        </w:pBdr>
        <w:ind w:left="1134" w:hanging="425"/>
        <w:rPr>
          <w:color w:val="000000"/>
        </w:rPr>
      </w:pPr>
      <w:r>
        <w:rPr>
          <w:color w:val="000000"/>
        </w:rPr>
        <w:t>Seguidamente, la Entidad debe tomar la parte en</w:t>
      </w:r>
      <w:r>
        <w:rPr>
          <w:color w:val="000000"/>
        </w:rPr>
        <w:t xml:space="preserve">tera (números a la izquierda de la coma decimal) de la TRM que rigió el día del cierre del proceso. La Entidad debe dividir esta parte entera entre el número total de Proponentes en empate, para posteriormente tomar su residuo y utilizarlo en la selección </w:t>
      </w:r>
      <w:r>
        <w:rPr>
          <w:color w:val="000000"/>
        </w:rPr>
        <w:t>final.</w:t>
      </w:r>
    </w:p>
    <w:p w:rsidR="00522688" w:rsidRDefault="00522688"/>
    <w:p w:rsidR="00522688" w:rsidRDefault="004E4FBB">
      <w:pPr>
        <w:numPr>
          <w:ilvl w:val="0"/>
          <w:numId w:val="12"/>
        </w:numPr>
        <w:pBdr>
          <w:top w:val="nil"/>
          <w:left w:val="nil"/>
          <w:bottom w:val="nil"/>
          <w:right w:val="nil"/>
          <w:between w:val="nil"/>
        </w:pBdr>
        <w:ind w:left="1134" w:hanging="425"/>
        <w:rPr>
          <w:color w:val="000000"/>
        </w:rPr>
      </w:pPr>
      <w:r>
        <w:rPr>
          <w:color w:val="000000"/>
        </w:rPr>
        <w:t>Realizados estos cálculos, la Entidad seleccionará a aquel Proponente que presente coincidencia entre el número asignado y el residuo encontrado. En caso de que el residuo sea cero (0), se escogerá al Proponente con el mayor número asignado.</w:t>
      </w:r>
    </w:p>
    <w:p w:rsidR="00522688" w:rsidRDefault="00522688"/>
    <w:p w:rsidR="00522688" w:rsidRDefault="004E4FBB">
      <w:r>
        <w:rPr>
          <w:b/>
        </w:rPr>
        <w:t xml:space="preserve">Nota </w:t>
      </w:r>
      <w:r>
        <w:rPr>
          <w:b/>
        </w:rPr>
        <w:t>1:</w:t>
      </w:r>
      <w:r>
        <w:t xml:space="preserve"> Los factores de desempate deberán aplicarse en armonía con los Acuerdos Comerciales vigentes suscritos por Colombia. De esta manera, en el evento en que el empate se presente entre ofertas cubiertas por un Acuerdo Comercial, se aplicarán los factores de</w:t>
      </w:r>
      <w:r>
        <w:t xml:space="preserve"> desempate que sean compatibles con los mencionados Acuerdos.</w:t>
      </w:r>
    </w:p>
    <w:p w:rsidR="00522688" w:rsidRDefault="00522688"/>
    <w:p w:rsidR="00522688" w:rsidRDefault="004E4FBB">
      <w:r>
        <w:rPr>
          <w:b/>
        </w:rPr>
        <w:t>Nota 2:</w:t>
      </w:r>
      <w:r>
        <w:t xml:space="preserve"> Si el empate entre las propuestas se presenta con un Proponente, bien o servicio extranjero cuyo país de origen no tiene Acuerdo Comercial con Colombia, ni trato nacional por reciprocid</w:t>
      </w:r>
      <w:r>
        <w:t>ad o con ocasión de la normativa comunitaria, se dará aplicación a todos los criterios de desempate previstos en el presente numeral.</w:t>
      </w:r>
    </w:p>
    <w:p w:rsidR="00522688" w:rsidRDefault="00522688"/>
    <w:p w:rsidR="00522688" w:rsidRDefault="004E4FBB">
      <w:r>
        <w:rPr>
          <w:b/>
        </w:rPr>
        <w:lastRenderedPageBreak/>
        <w:t>Nota 3:</w:t>
      </w:r>
      <w:r>
        <w:t xml:space="preserve"> Conforme con el artículo 18 de la Ley 1712 de 2014 y los artículos 5 y 6 de la Ley 1581 de 2012, la Entidad garan</w:t>
      </w:r>
      <w:r>
        <w:t>tizará el derecho a la reserva legal de toda aquella información que acredita el cumplimiento de los factores de desempate de: i) las mujeres víctimas de violencia intrafamiliar, ii) las personas en proceso de reincorporación y/o reintegración y iii) la po</w:t>
      </w:r>
      <w:r>
        <w:t>blación indígena, negra, afrocolombiana, raizal, palenquera, Rrom o gitana.</w:t>
      </w:r>
    </w:p>
    <w:p w:rsidR="00522688" w:rsidRDefault="00522688"/>
    <w:p w:rsidR="00522688" w:rsidRDefault="004E4FBB">
      <w:r>
        <w:t>De acuerdo con lo anterior, en la plataforma del SECOP no se publicará la información relacionada con los factores de desempate de personas en procesos de reincorporación o reinte</w:t>
      </w:r>
      <w:r>
        <w:t>gración o mujeres víctimas de violencia intrafamiliar o la población indígena, negra, afrocolombiana, raizal, palenquera, Rrom o gitana, puesto que su público conocimiento puede afectar el derecho a la intimidad de los oferentes o de sus trabajadores o soc</w:t>
      </w:r>
      <w:r>
        <w:t>ios o accionistas.</w:t>
      </w:r>
    </w:p>
    <w:p w:rsidR="00522688" w:rsidRDefault="00522688"/>
    <w:p w:rsidR="00522688" w:rsidRDefault="004E4FBB">
      <w:r>
        <w:rPr>
          <w:b/>
        </w:rPr>
        <w:t>Nota 4:</w:t>
      </w:r>
      <w:r>
        <w:t xml:space="preserve"> Para efectos de los factores de desempate dispuestos en este numeral, se entiende por experiencia acreditada en la oferta, la sumatoria de los contratos que demuestren la experiencia general de la actividad principal, expresados en salarios mínimos mensua</w:t>
      </w:r>
      <w:r>
        <w:t>les legales vigentes (SMMLV).</w:t>
      </w:r>
    </w:p>
    <w:p w:rsidR="00522688" w:rsidRDefault="00522688"/>
    <w:p w:rsidR="00522688" w:rsidRDefault="00522688"/>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69" w:name="_heading=h.kgcv8k" w:colFirst="0" w:colLast="0"/>
      <w:bookmarkEnd w:id="69"/>
      <w:r>
        <w:lastRenderedPageBreak/>
        <w:t>OFERTA ECONÓMICA</w:t>
      </w:r>
    </w:p>
    <w:p w:rsidR="00522688" w:rsidRDefault="00522688">
      <w:pPr>
        <w:numPr>
          <w:ilvl w:val="0"/>
          <w:numId w:val="15"/>
        </w:numPr>
        <w:pBdr>
          <w:top w:val="nil"/>
          <w:left w:val="nil"/>
          <w:bottom w:val="nil"/>
          <w:right w:val="nil"/>
          <w:between w:val="nil"/>
        </w:pBdr>
        <w:rPr>
          <w:color w:val="000000"/>
        </w:rPr>
      </w:pPr>
    </w:p>
    <w:p w:rsidR="00522688" w:rsidRDefault="004E4FBB">
      <w:r>
        <w:rPr>
          <w:highlight w:val="yellow"/>
        </w:rPr>
        <w:t>La forma de pago se realizará de conformidad con el numeral 5.3 del Estudio Previo.</w:t>
      </w:r>
    </w:p>
    <w:p w:rsidR="00522688" w:rsidRDefault="00522688"/>
    <w:p w:rsidR="00522688" w:rsidRDefault="004E4FBB">
      <w:r>
        <w:t xml:space="preserve">La oferta económica será el valor total indicado en la propuesta económica o el obtenido de la corrección aritmética. </w:t>
      </w:r>
      <w:r>
        <w:rPr>
          <w:highlight w:val="lightGray"/>
        </w:rPr>
        <w:t>[La Entidad debe configurar el Formato de oferta económica que se presenta en el “Formulario 1 – Propuesta económica”, para que sea diligenciado por los Proponentes].</w:t>
      </w:r>
    </w:p>
    <w:p w:rsidR="00522688" w:rsidRDefault="00522688"/>
    <w:p w:rsidR="00522688" w:rsidRDefault="004E4FBB">
      <w:r>
        <w:t>El valor de la propuesta económica debe ser presentado en Pesos Colombianos y contemplar</w:t>
      </w:r>
      <w:r>
        <w:t xml:space="preserve"> todos los costos directos e indirectos para la completa y adecuada ejecución del proyecto de consultoría del proceso, los Riesgos y la administración de estos. </w:t>
      </w:r>
    </w:p>
    <w:p w:rsidR="00522688" w:rsidRDefault="00522688"/>
    <w:p w:rsidR="00522688" w:rsidRDefault="004E4FBB">
      <w:r>
        <w:t>Al formular la oferta, el Proponente acepta que estarán a su cargo todos los impuestos, tasas</w:t>
      </w:r>
      <w:r>
        <w:t xml:space="preserve"> y contribuciones establecidos por las diferentes autoridades nacionales, departamentales o municipales y dentro de estos mismos niveles territoriales, los impuestos, tasas y contribuciones fijados por las diferentes autoridades. </w:t>
      </w:r>
    </w:p>
    <w:p w:rsidR="00522688" w:rsidRDefault="00522688"/>
    <w:p w:rsidR="00522688" w:rsidRDefault="004E4FBB">
      <w:r>
        <w:rPr>
          <w:highlight w:val="lightGray"/>
        </w:rPr>
        <w:t>[La Entidad Estatal en e</w:t>
      </w:r>
      <w:r>
        <w:rPr>
          <w:highlight w:val="lightGray"/>
        </w:rPr>
        <w:t>sta sección o en el “Formulario 1 – Formulario del presupuesto oficial” discriminará los impuestos, tasas o contribuciones que aplican al Proceso de Contratación. Los oferentes tendrán en cuenta está información al presentar su oferta]</w:t>
      </w:r>
    </w:p>
    <w:p w:rsidR="00522688" w:rsidRDefault="00522688"/>
    <w:p w:rsidR="00522688" w:rsidRDefault="004E4FBB">
      <w:pPr>
        <w:pStyle w:val="Ttulo2"/>
        <w:numPr>
          <w:ilvl w:val="1"/>
          <w:numId w:val="15"/>
        </w:numPr>
        <w:ind w:left="709" w:hanging="709"/>
      </w:pPr>
      <w:bookmarkStart w:id="70" w:name="_heading=h.34g0dwd" w:colFirst="0" w:colLast="0"/>
      <w:bookmarkEnd w:id="70"/>
      <w:r>
        <w:t>CORRECCIONES ARITMÉ</w:t>
      </w:r>
      <w:r>
        <w:t>TICAS</w:t>
      </w:r>
    </w:p>
    <w:p w:rsidR="00522688" w:rsidRDefault="00522688"/>
    <w:p w:rsidR="00522688" w:rsidRDefault="004E4FBB">
      <w:r>
        <w:t>La Entidad solo efectuará correcciones aritméticas originadas por:</w:t>
      </w:r>
    </w:p>
    <w:p w:rsidR="00522688" w:rsidRDefault="00522688"/>
    <w:p w:rsidR="00522688" w:rsidRDefault="004E4FBB">
      <w:pPr>
        <w:numPr>
          <w:ilvl w:val="0"/>
          <w:numId w:val="13"/>
        </w:numPr>
        <w:pBdr>
          <w:top w:val="nil"/>
          <w:left w:val="nil"/>
          <w:bottom w:val="nil"/>
          <w:right w:val="nil"/>
          <w:between w:val="nil"/>
        </w:pBdr>
        <w:rPr>
          <w:color w:val="000000"/>
        </w:rPr>
      </w:pPr>
      <w:r>
        <w:rPr>
          <w:color w:val="000000"/>
        </w:rPr>
        <w:t>Las operaciones aritméticas a que haya lugar en la propuesta económica, cuando exista un error que surja de un cálculo meramente aritmético cuando la operación ha sido erróneamente realizada.</w:t>
      </w:r>
    </w:p>
    <w:p w:rsidR="00522688" w:rsidRDefault="004E4FBB">
      <w:pPr>
        <w:numPr>
          <w:ilvl w:val="0"/>
          <w:numId w:val="13"/>
        </w:numPr>
        <w:pBdr>
          <w:top w:val="nil"/>
          <w:left w:val="nil"/>
          <w:bottom w:val="nil"/>
          <w:right w:val="nil"/>
          <w:between w:val="nil"/>
        </w:pBdr>
        <w:rPr>
          <w:color w:val="000000"/>
        </w:rPr>
      </w:pPr>
      <w:r>
        <w:rPr>
          <w:color w:val="000000"/>
        </w:rPr>
        <w:t>El ajuste al peso ya sea por exceso o por defecto de los precios</w:t>
      </w:r>
      <w:r>
        <w:rPr>
          <w:color w:val="000000"/>
        </w:rPr>
        <w:t xml:space="preserve"> unitarios contenidos en la propuesta económica y del valor del IVA, así: cuando la fracción decimal del peso sea igual o superior a punto cinco (0.5) se aproximará por exceso al número entero siguiente del peso y cuando la fracción decimal del peso sea in</w:t>
      </w:r>
      <w:r>
        <w:rPr>
          <w:color w:val="000000"/>
        </w:rPr>
        <w:t xml:space="preserve">ferior a punto cinco (0.5) se aproximará por defecto al número entero. </w:t>
      </w:r>
    </w:p>
    <w:p w:rsidR="00522688" w:rsidRDefault="00522688"/>
    <w:p w:rsidR="00522688" w:rsidRDefault="004E4FBB">
      <w:r>
        <w:t xml:space="preserve">La Entidad a partir del valor total corregido de las propuestas valorará la oferta económica según la normativa vigente aplicable. </w:t>
      </w:r>
    </w:p>
    <w:p w:rsidR="00522688" w:rsidRDefault="00522688"/>
    <w:p w:rsidR="00522688" w:rsidRDefault="004E4FBB">
      <w:pPr>
        <w:pStyle w:val="Ttulo2"/>
        <w:numPr>
          <w:ilvl w:val="1"/>
          <w:numId w:val="15"/>
        </w:numPr>
        <w:ind w:left="709" w:hanging="709"/>
      </w:pPr>
      <w:bookmarkStart w:id="71" w:name="_heading=h.1jlao46" w:colFirst="0" w:colLast="0"/>
      <w:bookmarkEnd w:id="71"/>
      <w:r>
        <w:t>PRECIO ARTIFICIALMENTE BAJO</w:t>
      </w:r>
    </w:p>
    <w:p w:rsidR="00522688" w:rsidRDefault="00522688"/>
    <w:p w:rsidR="00522688" w:rsidRDefault="004E4FBB">
      <w:r>
        <w:t>En el evento en el qu</w:t>
      </w:r>
      <w:r>
        <w:t>e el precio de una oferta, al momento de su evaluación, no parezca suficiente para garantizar una correcta ejecución del Contrato, de acuerdo con la información recogida durante la etapa de planeación y particularmente durante el estudio del sector, la Ent</w:t>
      </w:r>
      <w:r>
        <w:t>idad aplicará el proceso descrito en el artículo 2.2.1.1.2.2.4 del Decreto 1082 de 2015, además podrá acudir a los parámetros definidos en la Guía para el manejo de ofertas artificialmente bajas en Procesos de Contratación de Colombia Compra Eficiente, com</w:t>
      </w:r>
      <w:r>
        <w:t>o un criterio metodológico.</w:t>
      </w:r>
    </w:p>
    <w:p w:rsidR="00522688" w:rsidRDefault="00522688"/>
    <w:p w:rsidR="00522688" w:rsidRDefault="00522688"/>
    <w:p w:rsidR="00522688" w:rsidRDefault="00522688"/>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72" w:name="_heading=h.43ky6rz" w:colFirst="0" w:colLast="0"/>
      <w:bookmarkEnd w:id="72"/>
      <w:r>
        <w:lastRenderedPageBreak/>
        <w:t>RIESGOS ASOCIADOS AL CONTRATO, FORMA DE MITIGARLOS Y ASIGNACIÓN DE RIESGOS</w:t>
      </w:r>
    </w:p>
    <w:p w:rsidR="00522688" w:rsidRDefault="00522688">
      <w:pPr>
        <w:numPr>
          <w:ilvl w:val="0"/>
          <w:numId w:val="15"/>
        </w:numPr>
        <w:pBdr>
          <w:top w:val="nil"/>
          <w:left w:val="nil"/>
          <w:bottom w:val="nil"/>
          <w:right w:val="nil"/>
          <w:between w:val="nil"/>
        </w:pBdr>
        <w:rPr>
          <w:color w:val="000000"/>
        </w:rPr>
      </w:pPr>
    </w:p>
    <w:p w:rsidR="00522688" w:rsidRDefault="004E4FBB">
      <w:r>
        <w:t>La “Matriz 3 – Riesgos” incluye los Riesgos que se pueden presentar durante la ejecución del Contrato. Esta Matriz describe cada uno de los Riesgos, la consecuencia de su ocurrencia, a quién se le asigna, cuál es el tratamiento en caso de ocurrencia y quié</w:t>
      </w:r>
      <w:r>
        <w:t xml:space="preserve">n es el responsable del tratamiento entre otros aspectos. </w:t>
      </w:r>
    </w:p>
    <w:p w:rsidR="00522688" w:rsidRDefault="00522688"/>
    <w:p w:rsidR="00522688" w:rsidRDefault="004E4FBB">
      <w:r>
        <w:rPr>
          <w:highlight w:val="lightGray"/>
        </w:rPr>
        <w:t>[Para tipificar, estimar y asignar los Riesgos previsibles se puede tener en cuenta el Documento Conpes 3714 “Del riesgo previsible en el marco de la política de contratación pública”, así como un</w:t>
      </w:r>
      <w:r>
        <w:rPr>
          <w:highlight w:val="lightGray"/>
        </w:rPr>
        <w:t xml:space="preserve"> análisis de los Riesgos asociados al futuro contrato de consultoría y que sean inherentes a su ejecución, realizando la asignación de los mismos a las partes que se encuentren en mejor condición de asumirlos y mitigarlos. Será responsabilidad de la Entida</w:t>
      </w:r>
      <w:r>
        <w:rPr>
          <w:highlight w:val="lightGray"/>
        </w:rPr>
        <w:t>d Estatal la estimación, tipificación y asignación de los Riesgos según la consultoría a desarrollar en función del proyecto.]</w:t>
      </w:r>
    </w:p>
    <w:p w:rsidR="00522688" w:rsidRDefault="00522688"/>
    <w:p w:rsidR="00522688" w:rsidRDefault="004E4FBB">
      <w:pPr>
        <w:pStyle w:val="Ttulo2"/>
        <w:numPr>
          <w:ilvl w:val="1"/>
          <w:numId w:val="15"/>
        </w:numPr>
        <w:ind w:left="709" w:hanging="709"/>
      </w:pPr>
      <w:bookmarkStart w:id="73" w:name="_heading=h.2iq8gzs" w:colFirst="0" w:colLast="0"/>
      <w:bookmarkEnd w:id="73"/>
      <w:r>
        <w:t>ASIGNACIÓN DE RIESGOS</w:t>
      </w:r>
    </w:p>
    <w:p w:rsidR="00522688" w:rsidRDefault="00522688"/>
    <w:p w:rsidR="00522688" w:rsidRDefault="004E4FBB">
      <w:r>
        <w:t xml:space="preserve">La “Matriz 3 – Riesgos”, en la cual se tipifican los Riesgos previsibles, preparada por la Entidad, hace </w:t>
      </w:r>
      <w:r>
        <w:t>parte del Pliego de Condiciones y los interesados podrán presentar observaciones sobre su contenido.</w:t>
      </w:r>
    </w:p>
    <w:p w:rsidR="00522688" w:rsidRDefault="00522688"/>
    <w:p w:rsidR="00522688" w:rsidRDefault="004E4FBB">
      <w:r>
        <w:t xml:space="preserve">Los Proponentes deben realizar todas las evaluaciones y estimaciones que sean necesarias para presentar su propuesta sobre la base de un examen cuidadoso </w:t>
      </w:r>
      <w:r>
        <w:t>de sus características, incluyendo las evaluaciones y verificaciones que consideren necesarias para formular la propuesta con base en su propia información, de manera tal que el Proponente debe tener en cuenta el cálculo de los aspectos económicos del proy</w:t>
      </w:r>
      <w:r>
        <w:t>ecto, los cuales deben incluir todas las obligaciones y asunción de riesgos que emanan del Contrato.</w:t>
      </w:r>
    </w:p>
    <w:p w:rsidR="00522688" w:rsidRDefault="00522688"/>
    <w:p w:rsidR="00522688" w:rsidRDefault="004E4FBB">
      <w:r>
        <w:t>Si el Proponente que resulte adjudicatario ha evaluado incorrectamente o no ha considerado toda la información que pueda influir en la determinación de lo</w:t>
      </w:r>
      <w:r>
        <w:t>s costos, no se eximirá de su responsabilidad por la ejecución completa del Contrato ni le dará derecho a rembolso de costos ni a reclamaciones o reconocimientos adicionales de ninguna naturaleza.</w:t>
      </w:r>
    </w:p>
    <w:p w:rsidR="00522688" w:rsidRDefault="00522688"/>
    <w:p w:rsidR="00522688" w:rsidRDefault="004E4FBB">
      <w:r>
        <w:rPr>
          <w:highlight w:val="lightGray"/>
        </w:rPr>
        <w:t>[La Entidad Estatal, si lo considera conveniente, podrá pr</w:t>
      </w:r>
      <w:r>
        <w:rPr>
          <w:highlight w:val="lightGray"/>
        </w:rPr>
        <w:t>ogramar audiencia para la asignación de riesgos, caso en el cual deberá fijar la fecha, hora y lugar en el Cronograma del Proceso de Contratación]</w:t>
      </w:r>
    </w:p>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74" w:name="_heading=h.xvir7l" w:colFirst="0" w:colLast="0"/>
      <w:bookmarkEnd w:id="74"/>
      <w:r>
        <w:lastRenderedPageBreak/>
        <w:t>ACUERDOS COMERCIALES</w:t>
      </w:r>
    </w:p>
    <w:p w:rsidR="00522688" w:rsidRDefault="00522688">
      <w:pPr>
        <w:numPr>
          <w:ilvl w:val="0"/>
          <w:numId w:val="15"/>
        </w:numPr>
        <w:pBdr>
          <w:top w:val="nil"/>
          <w:left w:val="nil"/>
          <w:bottom w:val="nil"/>
          <w:right w:val="nil"/>
          <w:between w:val="nil"/>
        </w:pBdr>
        <w:rPr>
          <w:color w:val="000000"/>
        </w:rPr>
      </w:pPr>
    </w:p>
    <w:p w:rsidR="00522688" w:rsidRDefault="004E4FBB">
      <w:r>
        <w:t>El Proceso de Contratación está cubierto por los siguientes Acuerdos Comerciales y po</w:t>
      </w:r>
      <w:r>
        <w:t xml:space="preserve">r la Decisión 439 de la Secretaría de la Comunidad Andina de Naciones (CAN): </w:t>
      </w:r>
      <w:r>
        <w:rPr>
          <w:highlight w:val="lightGray"/>
        </w:rPr>
        <w:t>[La Entidad Estatal deberá modificar el siguiente cuadro cuando el Estado Colombiano suscriba y apruebe un nuevo Acuerdo Comercial]:</w:t>
      </w:r>
    </w:p>
    <w:p w:rsidR="00522688" w:rsidRDefault="00522688"/>
    <w:tbl>
      <w:tblPr>
        <w:tblStyle w:val="ad"/>
        <w:tblW w:w="79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1275"/>
        <w:gridCol w:w="1560"/>
        <w:gridCol w:w="1134"/>
        <w:gridCol w:w="1275"/>
        <w:gridCol w:w="1701"/>
      </w:tblGrid>
      <w:tr w:rsidR="00522688">
        <w:trPr>
          <w:trHeight w:val="227"/>
          <w:jc w:val="center"/>
        </w:trPr>
        <w:tc>
          <w:tcPr>
            <w:tcW w:w="2263" w:type="dxa"/>
            <w:gridSpan w:val="2"/>
            <w:shd w:val="clear" w:color="auto" w:fill="3B3838"/>
            <w:vAlign w:val="center"/>
          </w:tcPr>
          <w:p w:rsidR="00522688" w:rsidRDefault="004E4FBB">
            <w:pPr>
              <w:jc w:val="center"/>
              <w:rPr>
                <w:b/>
                <w:sz w:val="18"/>
                <w:szCs w:val="18"/>
              </w:rPr>
            </w:pPr>
            <w:r>
              <w:rPr>
                <w:b/>
                <w:sz w:val="18"/>
                <w:szCs w:val="18"/>
              </w:rPr>
              <w:t>Acuerdo Comercial</w:t>
            </w:r>
          </w:p>
        </w:tc>
        <w:tc>
          <w:tcPr>
            <w:tcW w:w="1560" w:type="dxa"/>
            <w:shd w:val="clear" w:color="auto" w:fill="3B3838"/>
            <w:vAlign w:val="center"/>
          </w:tcPr>
          <w:p w:rsidR="00522688" w:rsidRDefault="004E4FBB">
            <w:pPr>
              <w:jc w:val="center"/>
              <w:rPr>
                <w:b/>
                <w:sz w:val="18"/>
                <w:szCs w:val="18"/>
              </w:rPr>
            </w:pPr>
            <w:r>
              <w:rPr>
                <w:b/>
                <w:sz w:val="18"/>
                <w:szCs w:val="18"/>
              </w:rPr>
              <w:t>Entidad Estatal incluida</w:t>
            </w:r>
          </w:p>
        </w:tc>
        <w:tc>
          <w:tcPr>
            <w:tcW w:w="1134" w:type="dxa"/>
            <w:shd w:val="clear" w:color="auto" w:fill="3B3838"/>
            <w:vAlign w:val="center"/>
          </w:tcPr>
          <w:p w:rsidR="00522688" w:rsidRDefault="004E4FBB">
            <w:pPr>
              <w:jc w:val="center"/>
              <w:rPr>
                <w:b/>
                <w:sz w:val="18"/>
                <w:szCs w:val="18"/>
              </w:rPr>
            </w:pPr>
            <w:r>
              <w:rPr>
                <w:b/>
                <w:sz w:val="18"/>
                <w:szCs w:val="18"/>
              </w:rPr>
              <w:t>Umbral</w:t>
            </w:r>
          </w:p>
        </w:tc>
        <w:tc>
          <w:tcPr>
            <w:tcW w:w="1275" w:type="dxa"/>
            <w:shd w:val="clear" w:color="auto" w:fill="3B3838"/>
            <w:vAlign w:val="center"/>
          </w:tcPr>
          <w:p w:rsidR="00522688" w:rsidRDefault="004E4FBB">
            <w:pPr>
              <w:jc w:val="center"/>
              <w:rPr>
                <w:b/>
                <w:sz w:val="18"/>
                <w:szCs w:val="18"/>
              </w:rPr>
            </w:pPr>
            <w:r>
              <w:rPr>
                <w:b/>
                <w:sz w:val="18"/>
                <w:szCs w:val="18"/>
              </w:rPr>
              <w:t>Excepción aplicable</w:t>
            </w:r>
          </w:p>
        </w:tc>
        <w:tc>
          <w:tcPr>
            <w:tcW w:w="1701" w:type="dxa"/>
            <w:shd w:val="clear" w:color="auto" w:fill="3B3838"/>
            <w:vAlign w:val="center"/>
          </w:tcPr>
          <w:p w:rsidR="00522688" w:rsidRDefault="004E4FBB">
            <w:pPr>
              <w:jc w:val="center"/>
              <w:rPr>
                <w:b/>
                <w:sz w:val="18"/>
                <w:szCs w:val="18"/>
              </w:rPr>
            </w:pPr>
            <w:r>
              <w:rPr>
                <w:b/>
                <w:sz w:val="18"/>
                <w:szCs w:val="18"/>
              </w:rPr>
              <w:t>Proceso de Contratación cubierto</w:t>
            </w:r>
          </w:p>
        </w:tc>
      </w:tr>
      <w:tr w:rsidR="00522688">
        <w:trPr>
          <w:trHeight w:val="227"/>
          <w:jc w:val="center"/>
        </w:trPr>
        <w:tc>
          <w:tcPr>
            <w:tcW w:w="988" w:type="dxa"/>
            <w:vMerge w:val="restart"/>
            <w:vAlign w:val="center"/>
          </w:tcPr>
          <w:p w:rsidR="00522688" w:rsidRDefault="004E4FBB">
            <w:pPr>
              <w:jc w:val="center"/>
              <w:rPr>
                <w:sz w:val="18"/>
                <w:szCs w:val="18"/>
              </w:rPr>
            </w:pPr>
            <w:r>
              <w:rPr>
                <w:sz w:val="18"/>
                <w:szCs w:val="18"/>
              </w:rPr>
              <w:t>Alianza Pacífico</w:t>
            </w:r>
          </w:p>
        </w:tc>
        <w:tc>
          <w:tcPr>
            <w:tcW w:w="1275" w:type="dxa"/>
            <w:vAlign w:val="center"/>
          </w:tcPr>
          <w:p w:rsidR="00522688" w:rsidRDefault="004E4FBB">
            <w:pPr>
              <w:jc w:val="center"/>
              <w:rPr>
                <w:sz w:val="18"/>
                <w:szCs w:val="18"/>
              </w:rPr>
            </w:pPr>
            <w:r>
              <w:rPr>
                <w:sz w:val="18"/>
                <w:szCs w:val="18"/>
              </w:rPr>
              <w:t>Chile</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988" w:type="dxa"/>
            <w:vMerge/>
            <w:vAlign w:val="center"/>
          </w:tcPr>
          <w:p w:rsidR="00522688" w:rsidRDefault="00522688">
            <w:pPr>
              <w:widowControl w:val="0"/>
              <w:pBdr>
                <w:top w:val="nil"/>
                <w:left w:val="nil"/>
                <w:bottom w:val="nil"/>
                <w:right w:val="nil"/>
                <w:between w:val="nil"/>
              </w:pBdr>
              <w:spacing w:line="276" w:lineRule="auto"/>
              <w:jc w:val="left"/>
              <w:rPr>
                <w:sz w:val="18"/>
                <w:szCs w:val="18"/>
              </w:rPr>
            </w:pPr>
          </w:p>
        </w:tc>
        <w:tc>
          <w:tcPr>
            <w:tcW w:w="1275" w:type="dxa"/>
            <w:vAlign w:val="center"/>
          </w:tcPr>
          <w:p w:rsidR="00522688" w:rsidRDefault="004E4FBB">
            <w:pPr>
              <w:jc w:val="center"/>
              <w:rPr>
                <w:sz w:val="18"/>
                <w:szCs w:val="18"/>
              </w:rPr>
            </w:pPr>
            <w:r>
              <w:rPr>
                <w:sz w:val="18"/>
                <w:szCs w:val="18"/>
              </w:rPr>
              <w:t>México</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988" w:type="dxa"/>
            <w:vMerge/>
            <w:vAlign w:val="center"/>
          </w:tcPr>
          <w:p w:rsidR="00522688" w:rsidRDefault="00522688">
            <w:pPr>
              <w:widowControl w:val="0"/>
              <w:pBdr>
                <w:top w:val="nil"/>
                <w:left w:val="nil"/>
                <w:bottom w:val="nil"/>
                <w:right w:val="nil"/>
                <w:between w:val="nil"/>
              </w:pBdr>
              <w:spacing w:line="276" w:lineRule="auto"/>
              <w:jc w:val="left"/>
              <w:rPr>
                <w:sz w:val="18"/>
                <w:szCs w:val="18"/>
              </w:rPr>
            </w:pPr>
          </w:p>
        </w:tc>
        <w:tc>
          <w:tcPr>
            <w:tcW w:w="1275" w:type="dxa"/>
            <w:vAlign w:val="center"/>
          </w:tcPr>
          <w:p w:rsidR="00522688" w:rsidRDefault="004E4FBB">
            <w:pPr>
              <w:jc w:val="center"/>
              <w:rPr>
                <w:sz w:val="18"/>
                <w:szCs w:val="18"/>
              </w:rPr>
            </w:pPr>
            <w:r>
              <w:rPr>
                <w:sz w:val="18"/>
                <w:szCs w:val="18"/>
              </w:rPr>
              <w:t>Perú</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Canadá</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Chile</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Corea</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Costa Rica</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Estados Unidos</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Estados AELC</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Israel</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México</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988" w:type="dxa"/>
            <w:vMerge w:val="restart"/>
            <w:vAlign w:val="center"/>
          </w:tcPr>
          <w:p w:rsidR="00522688" w:rsidRDefault="004E4FBB">
            <w:pPr>
              <w:jc w:val="center"/>
              <w:rPr>
                <w:sz w:val="18"/>
                <w:szCs w:val="18"/>
              </w:rPr>
            </w:pPr>
            <w:r>
              <w:rPr>
                <w:sz w:val="18"/>
                <w:szCs w:val="18"/>
              </w:rPr>
              <w:t>Triángulo Norte</w:t>
            </w:r>
          </w:p>
        </w:tc>
        <w:tc>
          <w:tcPr>
            <w:tcW w:w="1275" w:type="dxa"/>
            <w:vAlign w:val="center"/>
          </w:tcPr>
          <w:p w:rsidR="00522688" w:rsidRDefault="004E4FBB">
            <w:pPr>
              <w:jc w:val="center"/>
              <w:rPr>
                <w:sz w:val="18"/>
                <w:szCs w:val="18"/>
              </w:rPr>
            </w:pPr>
            <w:r>
              <w:rPr>
                <w:sz w:val="18"/>
                <w:szCs w:val="18"/>
              </w:rPr>
              <w:t>El Salvador</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988" w:type="dxa"/>
            <w:vMerge/>
            <w:vAlign w:val="center"/>
          </w:tcPr>
          <w:p w:rsidR="00522688" w:rsidRDefault="00522688">
            <w:pPr>
              <w:widowControl w:val="0"/>
              <w:pBdr>
                <w:top w:val="nil"/>
                <w:left w:val="nil"/>
                <w:bottom w:val="nil"/>
                <w:right w:val="nil"/>
                <w:between w:val="nil"/>
              </w:pBdr>
              <w:spacing w:line="276" w:lineRule="auto"/>
              <w:jc w:val="left"/>
              <w:rPr>
                <w:sz w:val="18"/>
                <w:szCs w:val="18"/>
              </w:rPr>
            </w:pPr>
          </w:p>
        </w:tc>
        <w:tc>
          <w:tcPr>
            <w:tcW w:w="1275" w:type="dxa"/>
            <w:vAlign w:val="center"/>
          </w:tcPr>
          <w:p w:rsidR="00522688" w:rsidRDefault="004E4FBB">
            <w:pPr>
              <w:jc w:val="center"/>
              <w:rPr>
                <w:sz w:val="18"/>
                <w:szCs w:val="18"/>
              </w:rPr>
            </w:pPr>
            <w:r>
              <w:rPr>
                <w:sz w:val="18"/>
                <w:szCs w:val="18"/>
              </w:rPr>
              <w:t>Guatemala</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988" w:type="dxa"/>
            <w:vMerge/>
            <w:vAlign w:val="center"/>
          </w:tcPr>
          <w:p w:rsidR="00522688" w:rsidRDefault="00522688">
            <w:pPr>
              <w:widowControl w:val="0"/>
              <w:pBdr>
                <w:top w:val="nil"/>
                <w:left w:val="nil"/>
                <w:bottom w:val="nil"/>
                <w:right w:val="nil"/>
                <w:between w:val="nil"/>
              </w:pBdr>
              <w:spacing w:line="276" w:lineRule="auto"/>
              <w:jc w:val="left"/>
              <w:rPr>
                <w:sz w:val="18"/>
                <w:szCs w:val="18"/>
              </w:rPr>
            </w:pPr>
          </w:p>
        </w:tc>
        <w:tc>
          <w:tcPr>
            <w:tcW w:w="1275" w:type="dxa"/>
            <w:vAlign w:val="center"/>
          </w:tcPr>
          <w:p w:rsidR="00522688" w:rsidRDefault="004E4FBB">
            <w:pPr>
              <w:jc w:val="center"/>
              <w:rPr>
                <w:sz w:val="18"/>
                <w:szCs w:val="18"/>
              </w:rPr>
            </w:pPr>
            <w:r>
              <w:rPr>
                <w:sz w:val="18"/>
                <w:szCs w:val="18"/>
              </w:rPr>
              <w:t>Honduras</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r w:rsidR="00522688">
        <w:trPr>
          <w:trHeight w:val="227"/>
          <w:jc w:val="center"/>
        </w:trPr>
        <w:tc>
          <w:tcPr>
            <w:tcW w:w="2263" w:type="dxa"/>
            <w:gridSpan w:val="2"/>
            <w:vAlign w:val="center"/>
          </w:tcPr>
          <w:p w:rsidR="00522688" w:rsidRDefault="004E4FBB">
            <w:pPr>
              <w:jc w:val="center"/>
              <w:rPr>
                <w:sz w:val="18"/>
                <w:szCs w:val="18"/>
              </w:rPr>
            </w:pPr>
            <w:r>
              <w:rPr>
                <w:sz w:val="18"/>
                <w:szCs w:val="18"/>
              </w:rPr>
              <w:t>Unión Europea</w:t>
            </w:r>
          </w:p>
        </w:tc>
        <w:tc>
          <w:tcPr>
            <w:tcW w:w="1560" w:type="dxa"/>
            <w:vAlign w:val="center"/>
          </w:tcPr>
          <w:p w:rsidR="00522688" w:rsidRDefault="004E4FBB">
            <w:pPr>
              <w:jc w:val="center"/>
              <w:rPr>
                <w:sz w:val="18"/>
                <w:szCs w:val="18"/>
              </w:rPr>
            </w:pPr>
            <w:r>
              <w:rPr>
                <w:sz w:val="18"/>
                <w:szCs w:val="18"/>
              </w:rPr>
              <w:t>-</w:t>
            </w:r>
          </w:p>
        </w:tc>
        <w:tc>
          <w:tcPr>
            <w:tcW w:w="1134" w:type="dxa"/>
            <w:vAlign w:val="center"/>
          </w:tcPr>
          <w:p w:rsidR="00522688" w:rsidRDefault="004E4FBB">
            <w:pPr>
              <w:jc w:val="center"/>
              <w:rPr>
                <w:sz w:val="18"/>
                <w:szCs w:val="18"/>
              </w:rPr>
            </w:pPr>
            <w:r>
              <w:rPr>
                <w:sz w:val="18"/>
                <w:szCs w:val="18"/>
              </w:rPr>
              <w:t>-</w:t>
            </w:r>
          </w:p>
        </w:tc>
        <w:tc>
          <w:tcPr>
            <w:tcW w:w="1275" w:type="dxa"/>
            <w:vAlign w:val="center"/>
          </w:tcPr>
          <w:p w:rsidR="00522688" w:rsidRDefault="004E4FBB">
            <w:pPr>
              <w:jc w:val="center"/>
              <w:rPr>
                <w:sz w:val="18"/>
                <w:szCs w:val="18"/>
              </w:rPr>
            </w:pPr>
            <w:r>
              <w:rPr>
                <w:sz w:val="18"/>
                <w:szCs w:val="18"/>
              </w:rPr>
              <w:t>-</w:t>
            </w:r>
          </w:p>
        </w:tc>
        <w:tc>
          <w:tcPr>
            <w:tcW w:w="1701" w:type="dxa"/>
            <w:vAlign w:val="center"/>
          </w:tcPr>
          <w:p w:rsidR="00522688" w:rsidRDefault="004E4FBB">
            <w:pPr>
              <w:jc w:val="center"/>
              <w:rPr>
                <w:sz w:val="18"/>
                <w:szCs w:val="18"/>
              </w:rPr>
            </w:pPr>
            <w:r>
              <w:rPr>
                <w:sz w:val="18"/>
                <w:szCs w:val="18"/>
              </w:rPr>
              <w:t>-</w:t>
            </w:r>
          </w:p>
        </w:tc>
      </w:tr>
    </w:tbl>
    <w:p w:rsidR="00522688" w:rsidRDefault="00522688"/>
    <w:p w:rsidR="00522688" w:rsidRDefault="004E4FBB">
      <w:r>
        <w:t xml:space="preserve">En consecuencia, la Entidad concederá Trato Nacional a Proponentes y servicios de los Estados que cuenten con un Acuerdo Comercial que cubra el Proceso de Contratación. </w:t>
      </w:r>
    </w:p>
    <w:p w:rsidR="00522688" w:rsidRDefault="00522688"/>
    <w:p w:rsidR="00522688" w:rsidRDefault="004E4FBB">
      <w:r>
        <w:t>Adicionalmente, los Proponentes de Estados con los cuales el Gobierno Nacional haya c</w:t>
      </w:r>
      <w:r>
        <w:t>ertificado la existencia de Trato Nacional por reciprocidad recibirán este trato.</w:t>
      </w:r>
    </w:p>
    <w:p w:rsidR="00522688" w:rsidRDefault="00522688"/>
    <w:p w:rsidR="00522688" w:rsidRDefault="004E4FBB">
      <w:r>
        <w:rPr>
          <w:highlight w:val="lightGray"/>
        </w:rPr>
        <w:t>[En los Procesos de Contratación estructurados por lotes o grupos, para la verificación de los Acuerdos Comerciales se tendrá en cuenta el presupuesto total, es decir, la su</w:t>
      </w:r>
      <w:r>
        <w:rPr>
          <w:highlight w:val="lightGray"/>
        </w:rPr>
        <w:t>matoria del valor de los lotes o grupos que conforman el Proceso de Contratación]</w:t>
      </w:r>
    </w:p>
    <w:p w:rsidR="00522688" w:rsidRDefault="00522688"/>
    <w:p w:rsidR="00522688" w:rsidRDefault="00522688"/>
    <w:p w:rsidR="00522688" w:rsidRDefault="00522688"/>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75" w:name="_heading=h.3hv69ve" w:colFirst="0" w:colLast="0"/>
      <w:bookmarkEnd w:id="75"/>
      <w:r>
        <w:lastRenderedPageBreak/>
        <w:t>GARANTÍAS</w:t>
      </w:r>
    </w:p>
    <w:p w:rsidR="00522688" w:rsidRDefault="00522688">
      <w:pPr>
        <w:numPr>
          <w:ilvl w:val="0"/>
          <w:numId w:val="15"/>
        </w:numPr>
        <w:pBdr>
          <w:top w:val="nil"/>
          <w:left w:val="nil"/>
          <w:bottom w:val="nil"/>
          <w:right w:val="nil"/>
          <w:between w:val="nil"/>
        </w:pBdr>
        <w:rPr>
          <w:color w:val="000000"/>
        </w:rPr>
      </w:pPr>
    </w:p>
    <w:p w:rsidR="00522688" w:rsidRDefault="004E4FBB">
      <w:pPr>
        <w:pStyle w:val="Ttulo2"/>
        <w:numPr>
          <w:ilvl w:val="1"/>
          <w:numId w:val="15"/>
        </w:numPr>
      </w:pPr>
      <w:bookmarkStart w:id="76" w:name="_heading=h.1x0gk37" w:colFirst="0" w:colLast="0"/>
      <w:bookmarkEnd w:id="76"/>
      <w:r>
        <w:t>GARANTÍA DE SERIEDAD DE LA OFERTA</w:t>
      </w:r>
    </w:p>
    <w:p w:rsidR="00522688" w:rsidRDefault="00522688"/>
    <w:p w:rsidR="00522688" w:rsidRDefault="004E4FBB">
      <w:r>
        <w:t>El Proponente debe presentar con la propuesta una Garantía de seriedad de la oferta que cumpla con los parámetros, condiciones y requisitos que se indican en este numeral.</w:t>
      </w:r>
    </w:p>
    <w:p w:rsidR="00522688" w:rsidRDefault="00522688"/>
    <w:p w:rsidR="00522688" w:rsidRDefault="004E4FBB">
      <w:r>
        <w:t>Cualquier error o imprecisión en el texto de la Garantía presentada será susceptibl</w:t>
      </w:r>
      <w:r>
        <w:t xml:space="preserve">e de aclaración por el Proponente hasta el término de traslado del informe de evaluación. </w:t>
      </w:r>
    </w:p>
    <w:p w:rsidR="00522688" w:rsidRDefault="00522688"/>
    <w:p w:rsidR="00522688" w:rsidRDefault="004E4FBB">
      <w:r>
        <w:rPr>
          <w:highlight w:val="lightGray"/>
        </w:rPr>
        <w:t>[Incluir cuando la Entidad no haya establecido la posibilidad de resultar adjudicatario de más de un lote o grupo]</w:t>
      </w:r>
      <w:r>
        <w:t xml:space="preserve"> El Proponente presentará la Garantía de seriedad </w:t>
      </w:r>
      <w:r>
        <w:t xml:space="preserve">de la oferta sobre el lote de mayor valor en relación con los cuales presentó oferta. </w:t>
      </w:r>
    </w:p>
    <w:p w:rsidR="00522688" w:rsidRDefault="00522688"/>
    <w:p w:rsidR="00522688" w:rsidRDefault="004E4FBB">
      <w:r>
        <w:rPr>
          <w:highlight w:val="lightGray"/>
        </w:rPr>
        <w:t>[Incluir cuando la Entidad haya establecido la posibilidad de resultar adjudicatario de más de un lote o grupo]</w:t>
      </w:r>
      <w:r>
        <w:t xml:space="preserve"> El Proponente presentará la garantía de seriedad de la o</w:t>
      </w:r>
      <w:r>
        <w:t>ferta sobre la sumatoria de los lotes en relación con los cuales presentó oferta.</w:t>
      </w:r>
    </w:p>
    <w:p w:rsidR="00522688" w:rsidRDefault="00522688"/>
    <w:p w:rsidR="00522688" w:rsidRDefault="004E4FBB">
      <w:r>
        <w:t>Las características de las Garantías son las siguientes:</w:t>
      </w:r>
    </w:p>
    <w:p w:rsidR="00522688" w:rsidRDefault="00522688"/>
    <w:tbl>
      <w:tblPr>
        <w:tblStyle w:val="ae"/>
        <w:tblW w:w="85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7"/>
        <w:gridCol w:w="7093"/>
      </w:tblGrid>
      <w:tr w:rsidR="00522688">
        <w:trPr>
          <w:trHeight w:val="283"/>
          <w:jc w:val="center"/>
        </w:trPr>
        <w:tc>
          <w:tcPr>
            <w:tcW w:w="1407" w:type="dxa"/>
            <w:shd w:val="clear" w:color="auto" w:fill="3B3838"/>
            <w:vAlign w:val="center"/>
          </w:tcPr>
          <w:p w:rsidR="00522688" w:rsidRDefault="004E4FBB">
            <w:pPr>
              <w:jc w:val="center"/>
              <w:rPr>
                <w:b/>
                <w:sz w:val="18"/>
                <w:szCs w:val="18"/>
              </w:rPr>
            </w:pPr>
            <w:r>
              <w:rPr>
                <w:b/>
                <w:sz w:val="18"/>
                <w:szCs w:val="18"/>
              </w:rPr>
              <w:t>Característica</w:t>
            </w:r>
          </w:p>
        </w:tc>
        <w:tc>
          <w:tcPr>
            <w:tcW w:w="7093" w:type="dxa"/>
            <w:shd w:val="clear" w:color="auto" w:fill="3B3838"/>
            <w:vAlign w:val="center"/>
          </w:tcPr>
          <w:p w:rsidR="00522688" w:rsidRDefault="004E4FBB">
            <w:pPr>
              <w:jc w:val="center"/>
              <w:rPr>
                <w:b/>
                <w:sz w:val="18"/>
                <w:szCs w:val="18"/>
              </w:rPr>
            </w:pPr>
            <w:r>
              <w:rPr>
                <w:b/>
                <w:sz w:val="18"/>
                <w:szCs w:val="18"/>
              </w:rPr>
              <w:t>Condición</w:t>
            </w:r>
          </w:p>
        </w:tc>
      </w:tr>
      <w:tr w:rsidR="00522688">
        <w:trPr>
          <w:trHeight w:val="283"/>
          <w:jc w:val="center"/>
        </w:trPr>
        <w:tc>
          <w:tcPr>
            <w:tcW w:w="1407" w:type="dxa"/>
            <w:vAlign w:val="center"/>
          </w:tcPr>
          <w:p w:rsidR="00522688" w:rsidRDefault="004E4FBB">
            <w:pPr>
              <w:rPr>
                <w:sz w:val="18"/>
                <w:szCs w:val="18"/>
              </w:rPr>
            </w:pPr>
            <w:r>
              <w:rPr>
                <w:sz w:val="18"/>
                <w:szCs w:val="18"/>
              </w:rPr>
              <w:t>Clase</w:t>
            </w:r>
          </w:p>
        </w:tc>
        <w:tc>
          <w:tcPr>
            <w:tcW w:w="7093" w:type="dxa"/>
            <w:vAlign w:val="center"/>
          </w:tcPr>
          <w:p w:rsidR="00522688" w:rsidRDefault="004E4FBB">
            <w:pPr>
              <w:rPr>
                <w:sz w:val="18"/>
                <w:szCs w:val="18"/>
              </w:rPr>
            </w:pPr>
            <w:r>
              <w:rPr>
                <w:sz w:val="18"/>
                <w:szCs w:val="18"/>
              </w:rPr>
              <w:t>Cualquiera de las clases permitidas por el artículo 2.2.1.2.3.1.2 del Decreto 1082 de 2015, a saber: (i) Contrato de seguro contenido en una póliza, (ii) patrimonio autónomo y (iii) Garantía bancaria.</w:t>
            </w:r>
          </w:p>
        </w:tc>
      </w:tr>
      <w:tr w:rsidR="00522688">
        <w:trPr>
          <w:trHeight w:val="283"/>
          <w:jc w:val="center"/>
        </w:trPr>
        <w:tc>
          <w:tcPr>
            <w:tcW w:w="1407" w:type="dxa"/>
            <w:vAlign w:val="center"/>
          </w:tcPr>
          <w:p w:rsidR="00522688" w:rsidRDefault="004E4FBB">
            <w:pPr>
              <w:rPr>
                <w:sz w:val="18"/>
                <w:szCs w:val="18"/>
              </w:rPr>
            </w:pPr>
            <w:r>
              <w:rPr>
                <w:sz w:val="18"/>
                <w:szCs w:val="18"/>
              </w:rPr>
              <w:t>Asegurado/ beneficiario</w:t>
            </w:r>
          </w:p>
        </w:tc>
        <w:tc>
          <w:tcPr>
            <w:tcW w:w="7093" w:type="dxa"/>
            <w:vAlign w:val="center"/>
          </w:tcPr>
          <w:p w:rsidR="00522688" w:rsidRDefault="004E4FBB">
            <w:pPr>
              <w:rPr>
                <w:sz w:val="18"/>
                <w:szCs w:val="18"/>
              </w:rPr>
            </w:pPr>
            <w:r>
              <w:rPr>
                <w:sz w:val="18"/>
                <w:szCs w:val="18"/>
                <w:highlight w:val="yellow"/>
              </w:rPr>
              <w:t>INSTITUTO DE DESARROLLO URBANO</w:t>
            </w:r>
            <w:r>
              <w:rPr>
                <w:sz w:val="18"/>
                <w:szCs w:val="18"/>
                <w:highlight w:val="yellow"/>
              </w:rPr>
              <w:t xml:space="preserve"> - IDU identificado con NIT 899.999.081-6</w:t>
            </w:r>
          </w:p>
        </w:tc>
      </w:tr>
      <w:tr w:rsidR="00522688">
        <w:trPr>
          <w:trHeight w:val="283"/>
          <w:jc w:val="center"/>
        </w:trPr>
        <w:tc>
          <w:tcPr>
            <w:tcW w:w="1407" w:type="dxa"/>
            <w:vAlign w:val="center"/>
          </w:tcPr>
          <w:p w:rsidR="00522688" w:rsidRDefault="004E4FBB">
            <w:pPr>
              <w:rPr>
                <w:sz w:val="18"/>
                <w:szCs w:val="18"/>
              </w:rPr>
            </w:pPr>
            <w:r>
              <w:rPr>
                <w:sz w:val="18"/>
                <w:szCs w:val="18"/>
              </w:rPr>
              <w:t>Amparos</w:t>
            </w:r>
          </w:p>
        </w:tc>
        <w:tc>
          <w:tcPr>
            <w:tcW w:w="7093" w:type="dxa"/>
            <w:vAlign w:val="center"/>
          </w:tcPr>
          <w:p w:rsidR="00522688" w:rsidRDefault="004E4FBB">
            <w:pPr>
              <w:rPr>
                <w:sz w:val="18"/>
                <w:szCs w:val="18"/>
              </w:rPr>
            </w:pPr>
            <w:r>
              <w:rPr>
                <w:sz w:val="18"/>
                <w:szCs w:val="18"/>
              </w:rPr>
              <w:t>La sanción derivada del incumplimiento del ofrecimiento en los eventos señalados en el artículo 2.2.1.2.3.1.6 del Decreto 1082 de 2015.</w:t>
            </w:r>
          </w:p>
        </w:tc>
      </w:tr>
      <w:tr w:rsidR="00522688">
        <w:trPr>
          <w:trHeight w:val="283"/>
          <w:jc w:val="center"/>
        </w:trPr>
        <w:tc>
          <w:tcPr>
            <w:tcW w:w="1407" w:type="dxa"/>
            <w:vAlign w:val="center"/>
          </w:tcPr>
          <w:p w:rsidR="00522688" w:rsidRDefault="004E4FBB">
            <w:pPr>
              <w:rPr>
                <w:sz w:val="18"/>
                <w:szCs w:val="18"/>
              </w:rPr>
            </w:pPr>
            <w:r>
              <w:rPr>
                <w:sz w:val="18"/>
                <w:szCs w:val="18"/>
              </w:rPr>
              <w:t>Vigencia</w:t>
            </w:r>
          </w:p>
        </w:tc>
        <w:tc>
          <w:tcPr>
            <w:tcW w:w="7093" w:type="dxa"/>
            <w:vAlign w:val="center"/>
          </w:tcPr>
          <w:p w:rsidR="00522688" w:rsidRDefault="004E4FBB">
            <w:pPr>
              <w:rPr>
                <w:sz w:val="18"/>
                <w:szCs w:val="18"/>
              </w:rPr>
            </w:pPr>
            <w:r>
              <w:rPr>
                <w:sz w:val="18"/>
                <w:szCs w:val="18"/>
              </w:rPr>
              <w:t>3 meses contados a partir de la fecha de cierre del Proceso de Contratación.</w:t>
            </w:r>
          </w:p>
        </w:tc>
      </w:tr>
      <w:tr w:rsidR="00522688">
        <w:trPr>
          <w:trHeight w:val="283"/>
          <w:jc w:val="center"/>
        </w:trPr>
        <w:tc>
          <w:tcPr>
            <w:tcW w:w="1407" w:type="dxa"/>
            <w:vAlign w:val="center"/>
          </w:tcPr>
          <w:p w:rsidR="00522688" w:rsidRDefault="004E4FBB">
            <w:pPr>
              <w:rPr>
                <w:sz w:val="18"/>
                <w:szCs w:val="18"/>
              </w:rPr>
            </w:pPr>
            <w:r>
              <w:rPr>
                <w:sz w:val="18"/>
                <w:szCs w:val="18"/>
              </w:rPr>
              <w:t>Valor Asegurado</w:t>
            </w:r>
          </w:p>
        </w:tc>
        <w:tc>
          <w:tcPr>
            <w:tcW w:w="7093" w:type="dxa"/>
            <w:vAlign w:val="center"/>
          </w:tcPr>
          <w:p w:rsidR="00522688" w:rsidRDefault="004E4FBB">
            <w:pPr>
              <w:rPr>
                <w:sz w:val="18"/>
                <w:szCs w:val="18"/>
              </w:rPr>
            </w:pPr>
            <w:r>
              <w:rPr>
                <w:sz w:val="18"/>
                <w:szCs w:val="18"/>
              </w:rPr>
              <w:t xml:space="preserve">Diez por ciento (10 %) del presupuesto oficial del Proceso de Contratación </w:t>
            </w:r>
            <w:r>
              <w:rPr>
                <w:sz w:val="18"/>
                <w:szCs w:val="18"/>
                <w:highlight w:val="lightGray"/>
              </w:rPr>
              <w:t>[Cuando la oferta o el presupuesto estimado sea superior a 1.000.000 de SMMLV se aplica</w:t>
            </w:r>
            <w:r>
              <w:rPr>
                <w:sz w:val="18"/>
                <w:szCs w:val="18"/>
                <w:highlight w:val="lightGray"/>
              </w:rPr>
              <w:t>rán las reglas establecidas en el Decreto 1082 de 2015]</w:t>
            </w:r>
          </w:p>
        </w:tc>
      </w:tr>
      <w:tr w:rsidR="00522688">
        <w:trPr>
          <w:trHeight w:val="283"/>
          <w:jc w:val="center"/>
        </w:trPr>
        <w:tc>
          <w:tcPr>
            <w:tcW w:w="1407" w:type="dxa"/>
            <w:vAlign w:val="center"/>
          </w:tcPr>
          <w:p w:rsidR="00522688" w:rsidRDefault="004E4FBB">
            <w:pPr>
              <w:rPr>
                <w:sz w:val="18"/>
                <w:szCs w:val="18"/>
              </w:rPr>
            </w:pPr>
            <w:r>
              <w:rPr>
                <w:sz w:val="18"/>
                <w:szCs w:val="18"/>
              </w:rPr>
              <w:t>Tomador</w:t>
            </w:r>
          </w:p>
        </w:tc>
        <w:tc>
          <w:tcPr>
            <w:tcW w:w="7093" w:type="dxa"/>
            <w:vAlign w:val="center"/>
          </w:tcPr>
          <w:p w:rsidR="00522688" w:rsidRDefault="004E4FBB">
            <w:pPr>
              <w:numPr>
                <w:ilvl w:val="0"/>
                <w:numId w:val="27"/>
              </w:numPr>
              <w:pBdr>
                <w:top w:val="nil"/>
                <w:left w:val="nil"/>
                <w:bottom w:val="nil"/>
                <w:right w:val="nil"/>
                <w:between w:val="nil"/>
              </w:pBdr>
              <w:rPr>
                <w:rFonts w:eastAsia="Arial" w:cs="Arial"/>
                <w:color w:val="000000"/>
                <w:sz w:val="18"/>
                <w:szCs w:val="18"/>
              </w:rPr>
            </w:pPr>
            <w:r>
              <w:rPr>
                <w:rFonts w:eastAsia="Arial" w:cs="Arial"/>
                <w:color w:val="000000"/>
                <w:sz w:val="18"/>
                <w:szCs w:val="18"/>
              </w:rPr>
              <w:t>Para las personas jurídicas: la Garantía deberá tomarse con el nombre o razón social y tipo societario que figura en el certificado de existencia y representación legal expedido por la Cámara</w:t>
            </w:r>
            <w:r>
              <w:rPr>
                <w:rFonts w:eastAsia="Arial" w:cs="Arial"/>
                <w:color w:val="000000"/>
                <w:sz w:val="18"/>
                <w:szCs w:val="18"/>
              </w:rPr>
              <w:t xml:space="preserve"> de Comercio respectiva, y no sólo con su sigla, a no ser que en el referido documento se exprese que la sociedad podrá denominarse de esa manera.</w:t>
            </w:r>
          </w:p>
          <w:p w:rsidR="00522688" w:rsidRDefault="004E4FBB">
            <w:pPr>
              <w:numPr>
                <w:ilvl w:val="0"/>
                <w:numId w:val="27"/>
              </w:numPr>
              <w:pBdr>
                <w:top w:val="nil"/>
                <w:left w:val="nil"/>
                <w:bottom w:val="nil"/>
                <w:right w:val="nil"/>
                <w:between w:val="nil"/>
              </w:pBdr>
              <w:rPr>
                <w:rFonts w:eastAsia="Arial" w:cs="Arial"/>
                <w:color w:val="000000"/>
                <w:sz w:val="18"/>
                <w:szCs w:val="18"/>
              </w:rPr>
            </w:pPr>
            <w:r>
              <w:rPr>
                <w:rFonts w:eastAsia="Arial" w:cs="Arial"/>
                <w:color w:val="000000"/>
                <w:sz w:val="18"/>
                <w:szCs w:val="18"/>
              </w:rPr>
              <w:t>Para los Proponentes Plurales: la Garantía deberá ser otorgada por todos los integrantes del Proponente Plura</w:t>
            </w:r>
            <w:r>
              <w:rPr>
                <w:rFonts w:eastAsia="Arial" w:cs="Arial"/>
                <w:color w:val="000000"/>
                <w:sz w:val="18"/>
                <w:szCs w:val="18"/>
              </w:rPr>
              <w:t>l, para lo cual se deberá relacionar claramente los integrantes, su identificación y porcentaje de participación, quienes para todos los efectos serán los otorgantes de esta.</w:t>
            </w:r>
          </w:p>
        </w:tc>
      </w:tr>
    </w:tbl>
    <w:p w:rsidR="00522688" w:rsidRDefault="00522688"/>
    <w:p w:rsidR="00522688" w:rsidRDefault="004E4FBB">
      <w:r>
        <w:t>Si en desarrollo del Proceso de Contratación se modifica el Cronograma, el Proponente deberá ampliar la vigencia de la Garantía de seriedad de la oferta hasta tanto no se haya perfeccionado y cumplido los requisitos de ejecución del respectivo Contrato.</w:t>
      </w:r>
    </w:p>
    <w:p w:rsidR="00522688" w:rsidRDefault="00522688"/>
    <w:p w:rsidR="00522688" w:rsidRDefault="004E4FBB">
      <w:r>
        <w:t>L</w:t>
      </w:r>
      <w:r>
        <w:t xml:space="preserve">a propuesta tendrá una validez igual al término de vigencia establecido para la Garantía de seriedad de la oferta. Durante este período la propuesta será irrevocable, de tal manera que el Proponente no podrá retirar ni modificar los términos o condiciones </w:t>
      </w:r>
      <w:r>
        <w:t>de la misma, so pena de que la Entidad pueda hacer efectiva la Garantía de seriedad de la oferta.</w:t>
      </w:r>
    </w:p>
    <w:p w:rsidR="00522688" w:rsidRDefault="00522688"/>
    <w:p w:rsidR="00522688" w:rsidRDefault="004E4FBB">
      <w:pPr>
        <w:pStyle w:val="Ttulo2"/>
        <w:numPr>
          <w:ilvl w:val="1"/>
          <w:numId w:val="15"/>
        </w:numPr>
        <w:ind w:left="709" w:hanging="709"/>
      </w:pPr>
      <w:bookmarkStart w:id="77" w:name="_heading=h.4h042r0" w:colFirst="0" w:colLast="0"/>
      <w:bookmarkEnd w:id="77"/>
      <w:r>
        <w:t>GARANTÍAS DEL CONTRATO</w:t>
      </w:r>
    </w:p>
    <w:p w:rsidR="00522688" w:rsidRDefault="00522688"/>
    <w:p w:rsidR="00522688" w:rsidRDefault="004E4FBB">
      <w:pPr>
        <w:pStyle w:val="Ttulo3"/>
        <w:numPr>
          <w:ilvl w:val="2"/>
          <w:numId w:val="15"/>
        </w:numPr>
      </w:pPr>
      <w:bookmarkStart w:id="78" w:name="_heading=h.2w5ecyt" w:colFirst="0" w:colLast="0"/>
      <w:bookmarkEnd w:id="78"/>
      <w:r>
        <w:lastRenderedPageBreak/>
        <w:t>GARANTÍA DE CUMPLIMIENTO</w:t>
      </w:r>
    </w:p>
    <w:p w:rsidR="00522688" w:rsidRDefault="00522688"/>
    <w:p w:rsidR="00522688" w:rsidRDefault="004E4FBB">
      <w:r>
        <w:t xml:space="preserve">Para cubrir cualquier hecho constitutivo de incumplimiento, el contratista deberá presentar la Garantía de cumplimiento en original a la Entidad dentro de los </w:t>
      </w:r>
      <w:r>
        <w:rPr>
          <w:highlight w:val="lightGray"/>
        </w:rPr>
        <w:t>[La Entidad deberá definir los días]</w:t>
      </w:r>
      <w:r>
        <w:t xml:space="preserve"> días hábiles siguientes contados a partir de la firma del Co</w:t>
      </w:r>
      <w:r>
        <w:t>ntrato y requerirá la aprobación de la Entidad. Esta garantía tendrá las siguientes características:</w:t>
      </w:r>
    </w:p>
    <w:p w:rsidR="00522688" w:rsidRDefault="00522688"/>
    <w:tbl>
      <w:tblPr>
        <w:tblStyle w:val="af"/>
        <w:tblW w:w="85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7"/>
        <w:gridCol w:w="7093"/>
      </w:tblGrid>
      <w:tr w:rsidR="00522688">
        <w:trPr>
          <w:trHeight w:val="283"/>
          <w:jc w:val="center"/>
        </w:trPr>
        <w:tc>
          <w:tcPr>
            <w:tcW w:w="1407" w:type="dxa"/>
            <w:shd w:val="clear" w:color="auto" w:fill="3B3838"/>
            <w:vAlign w:val="center"/>
          </w:tcPr>
          <w:p w:rsidR="00522688" w:rsidRDefault="004E4FBB">
            <w:pPr>
              <w:jc w:val="center"/>
              <w:rPr>
                <w:b/>
                <w:sz w:val="18"/>
                <w:szCs w:val="18"/>
              </w:rPr>
            </w:pPr>
            <w:r>
              <w:rPr>
                <w:b/>
                <w:sz w:val="18"/>
                <w:szCs w:val="18"/>
              </w:rPr>
              <w:t>Característica</w:t>
            </w:r>
          </w:p>
        </w:tc>
        <w:tc>
          <w:tcPr>
            <w:tcW w:w="7093" w:type="dxa"/>
            <w:shd w:val="clear" w:color="auto" w:fill="3B3838"/>
            <w:vAlign w:val="center"/>
          </w:tcPr>
          <w:p w:rsidR="00522688" w:rsidRDefault="004E4FBB">
            <w:pPr>
              <w:jc w:val="center"/>
              <w:rPr>
                <w:b/>
                <w:sz w:val="18"/>
                <w:szCs w:val="18"/>
              </w:rPr>
            </w:pPr>
            <w:r>
              <w:rPr>
                <w:b/>
                <w:sz w:val="18"/>
                <w:szCs w:val="18"/>
              </w:rPr>
              <w:t>Condición</w:t>
            </w:r>
          </w:p>
        </w:tc>
      </w:tr>
      <w:tr w:rsidR="00522688">
        <w:trPr>
          <w:trHeight w:val="283"/>
          <w:jc w:val="center"/>
        </w:trPr>
        <w:tc>
          <w:tcPr>
            <w:tcW w:w="1407" w:type="dxa"/>
            <w:vAlign w:val="center"/>
          </w:tcPr>
          <w:p w:rsidR="00522688" w:rsidRDefault="004E4FBB">
            <w:pPr>
              <w:rPr>
                <w:sz w:val="18"/>
                <w:szCs w:val="18"/>
              </w:rPr>
            </w:pPr>
            <w:r>
              <w:rPr>
                <w:sz w:val="18"/>
                <w:szCs w:val="18"/>
              </w:rPr>
              <w:t>Clase</w:t>
            </w:r>
          </w:p>
        </w:tc>
        <w:tc>
          <w:tcPr>
            <w:tcW w:w="7093" w:type="dxa"/>
            <w:vAlign w:val="center"/>
          </w:tcPr>
          <w:p w:rsidR="00522688" w:rsidRDefault="004E4FBB">
            <w:pPr>
              <w:rPr>
                <w:sz w:val="18"/>
                <w:szCs w:val="18"/>
              </w:rPr>
            </w:pPr>
            <w:r>
              <w:rPr>
                <w:sz w:val="18"/>
                <w:szCs w:val="18"/>
              </w:rPr>
              <w:t>Cualquiera de las clases permitidas por el artículo 2.2.1.2.3.1.2 del Decreto 1082 de 2015, a saber: (i) Contrato de segur</w:t>
            </w:r>
            <w:r>
              <w:rPr>
                <w:sz w:val="18"/>
                <w:szCs w:val="18"/>
              </w:rPr>
              <w:t>o contenido en una póliza para Entidades Estatales, (ii) patrimonio autónomo o (iii) Garantía bancaria.</w:t>
            </w:r>
          </w:p>
        </w:tc>
      </w:tr>
      <w:tr w:rsidR="00522688">
        <w:trPr>
          <w:trHeight w:val="283"/>
          <w:jc w:val="center"/>
        </w:trPr>
        <w:tc>
          <w:tcPr>
            <w:tcW w:w="1407" w:type="dxa"/>
            <w:vAlign w:val="center"/>
          </w:tcPr>
          <w:p w:rsidR="00522688" w:rsidRDefault="004E4FBB">
            <w:pPr>
              <w:rPr>
                <w:sz w:val="18"/>
                <w:szCs w:val="18"/>
              </w:rPr>
            </w:pPr>
            <w:r>
              <w:rPr>
                <w:sz w:val="18"/>
                <w:szCs w:val="18"/>
              </w:rPr>
              <w:t>Asegurado/ beneficiario</w:t>
            </w:r>
          </w:p>
        </w:tc>
        <w:tc>
          <w:tcPr>
            <w:tcW w:w="7093" w:type="dxa"/>
            <w:vAlign w:val="center"/>
          </w:tcPr>
          <w:p w:rsidR="00522688" w:rsidRDefault="004E4FBB">
            <w:pPr>
              <w:rPr>
                <w:sz w:val="18"/>
                <w:szCs w:val="18"/>
              </w:rPr>
            </w:pPr>
            <w:r>
              <w:rPr>
                <w:sz w:val="18"/>
                <w:szCs w:val="18"/>
                <w:highlight w:val="yellow"/>
              </w:rPr>
              <w:t>INSTITUTO DE DESARROLLO URBANO - IDU identificado con NIT 899.999.081-6</w:t>
            </w:r>
          </w:p>
        </w:tc>
      </w:tr>
      <w:tr w:rsidR="00522688">
        <w:trPr>
          <w:trHeight w:val="283"/>
          <w:jc w:val="center"/>
        </w:trPr>
        <w:tc>
          <w:tcPr>
            <w:tcW w:w="1407" w:type="dxa"/>
            <w:vAlign w:val="center"/>
          </w:tcPr>
          <w:p w:rsidR="00522688" w:rsidRDefault="004E4FBB">
            <w:pPr>
              <w:rPr>
                <w:sz w:val="18"/>
                <w:szCs w:val="18"/>
              </w:rPr>
            </w:pPr>
            <w:r>
              <w:rPr>
                <w:sz w:val="18"/>
                <w:szCs w:val="18"/>
              </w:rPr>
              <w:t>Amparos, vigencia y valores asegurados</w:t>
            </w:r>
          </w:p>
        </w:tc>
        <w:tc>
          <w:tcPr>
            <w:tcW w:w="7093" w:type="dxa"/>
            <w:vAlign w:val="center"/>
          </w:tcPr>
          <w:p w:rsidR="00522688" w:rsidRDefault="00522688">
            <w:pPr>
              <w:rPr>
                <w:sz w:val="18"/>
                <w:szCs w:val="18"/>
              </w:rPr>
            </w:pPr>
          </w:p>
          <w:tbl>
            <w:tblPr>
              <w:tblStyle w:val="af0"/>
              <w:tblW w:w="64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4"/>
              <w:gridCol w:w="2154"/>
              <w:gridCol w:w="2154"/>
            </w:tblGrid>
            <w:tr w:rsidR="00522688">
              <w:trPr>
                <w:jc w:val="center"/>
              </w:trPr>
              <w:tc>
                <w:tcPr>
                  <w:tcW w:w="2154" w:type="dxa"/>
                  <w:shd w:val="clear" w:color="auto" w:fill="3B3838"/>
                  <w:vAlign w:val="center"/>
                </w:tcPr>
                <w:p w:rsidR="00522688" w:rsidRDefault="004E4FBB">
                  <w:pPr>
                    <w:jc w:val="center"/>
                    <w:rPr>
                      <w:b/>
                      <w:sz w:val="18"/>
                      <w:szCs w:val="18"/>
                    </w:rPr>
                  </w:pPr>
                  <w:r>
                    <w:rPr>
                      <w:b/>
                      <w:sz w:val="18"/>
                      <w:szCs w:val="18"/>
                    </w:rPr>
                    <w:t>Amparo</w:t>
                  </w:r>
                </w:p>
              </w:tc>
              <w:tc>
                <w:tcPr>
                  <w:tcW w:w="2154" w:type="dxa"/>
                  <w:shd w:val="clear" w:color="auto" w:fill="3B3838"/>
                  <w:vAlign w:val="center"/>
                </w:tcPr>
                <w:p w:rsidR="00522688" w:rsidRDefault="004E4FBB">
                  <w:pPr>
                    <w:jc w:val="center"/>
                    <w:rPr>
                      <w:b/>
                      <w:sz w:val="18"/>
                      <w:szCs w:val="18"/>
                    </w:rPr>
                  </w:pPr>
                  <w:r>
                    <w:rPr>
                      <w:b/>
                      <w:sz w:val="18"/>
                      <w:szCs w:val="18"/>
                    </w:rPr>
                    <w:t>Vigencia</w:t>
                  </w:r>
                </w:p>
              </w:tc>
              <w:tc>
                <w:tcPr>
                  <w:tcW w:w="2154" w:type="dxa"/>
                  <w:shd w:val="clear" w:color="auto" w:fill="3B3838"/>
                  <w:vAlign w:val="center"/>
                </w:tcPr>
                <w:p w:rsidR="00522688" w:rsidRDefault="004E4FBB">
                  <w:pPr>
                    <w:jc w:val="center"/>
                    <w:rPr>
                      <w:b/>
                      <w:sz w:val="18"/>
                      <w:szCs w:val="18"/>
                    </w:rPr>
                  </w:pPr>
                  <w:r>
                    <w:rPr>
                      <w:b/>
                      <w:sz w:val="18"/>
                      <w:szCs w:val="18"/>
                    </w:rPr>
                    <w:t>Valor Asegurado</w:t>
                  </w:r>
                </w:p>
              </w:tc>
            </w:tr>
            <w:tr w:rsidR="00522688">
              <w:trPr>
                <w:jc w:val="center"/>
              </w:trPr>
              <w:tc>
                <w:tcPr>
                  <w:tcW w:w="2154" w:type="dxa"/>
                  <w:vAlign w:val="center"/>
                </w:tcPr>
                <w:p w:rsidR="00522688" w:rsidRDefault="004E4FBB">
                  <w:pPr>
                    <w:rPr>
                      <w:sz w:val="18"/>
                      <w:szCs w:val="18"/>
                    </w:rPr>
                  </w:pPr>
                  <w:r>
                    <w:rPr>
                      <w:sz w:val="18"/>
                      <w:szCs w:val="18"/>
                    </w:rPr>
                    <w:t>Cumplimiento general del Contrato y el pago de las multas y la cláusula penal pecuniaria que se le impongan</w:t>
                  </w:r>
                </w:p>
              </w:tc>
              <w:tc>
                <w:tcPr>
                  <w:tcW w:w="2154" w:type="dxa"/>
                  <w:vAlign w:val="center"/>
                </w:tcPr>
                <w:p w:rsidR="00522688" w:rsidRDefault="004E4FBB">
                  <w:pPr>
                    <w:rPr>
                      <w:sz w:val="18"/>
                      <w:szCs w:val="18"/>
                    </w:rPr>
                  </w:pPr>
                  <w:r>
                    <w:rPr>
                      <w:sz w:val="18"/>
                      <w:szCs w:val="18"/>
                    </w:rPr>
                    <w:t>Hasta la liquidación del Contrato</w:t>
                  </w:r>
                </w:p>
              </w:tc>
              <w:tc>
                <w:tcPr>
                  <w:tcW w:w="2154" w:type="dxa"/>
                  <w:vAlign w:val="center"/>
                </w:tcPr>
                <w:p w:rsidR="00522688" w:rsidRDefault="004E4FBB">
                  <w:pPr>
                    <w:rPr>
                      <w:sz w:val="18"/>
                      <w:szCs w:val="18"/>
                      <w:highlight w:val="lightGray"/>
                    </w:rPr>
                  </w:pPr>
                  <w:r>
                    <w:rPr>
                      <w:sz w:val="18"/>
                      <w:szCs w:val="18"/>
                      <w:highlight w:val="lightGray"/>
                    </w:rPr>
                    <w:t>[Ajustar valor dependiendo de lo dispuesto en el artículo 2.2.1.2.3.1.12. del Decreto 1082 de 2015]</w:t>
                  </w:r>
                </w:p>
              </w:tc>
            </w:tr>
            <w:tr w:rsidR="00522688">
              <w:trPr>
                <w:jc w:val="center"/>
              </w:trPr>
              <w:tc>
                <w:tcPr>
                  <w:tcW w:w="2154" w:type="dxa"/>
                  <w:vAlign w:val="center"/>
                </w:tcPr>
                <w:p w:rsidR="00522688" w:rsidRDefault="004E4FBB">
                  <w:pPr>
                    <w:rPr>
                      <w:sz w:val="18"/>
                      <w:szCs w:val="18"/>
                    </w:rPr>
                  </w:pPr>
                  <w:r>
                    <w:rPr>
                      <w:sz w:val="18"/>
                      <w:szCs w:val="18"/>
                    </w:rPr>
                    <w:t xml:space="preserve">Buen manejo y correcta inversión del anticipo </w:t>
                  </w:r>
                  <w:r>
                    <w:rPr>
                      <w:sz w:val="18"/>
                      <w:szCs w:val="18"/>
                      <w:highlight w:val="lightGray"/>
                    </w:rPr>
                    <w:t>[En caso de aplicar]</w:t>
                  </w:r>
                </w:p>
              </w:tc>
              <w:tc>
                <w:tcPr>
                  <w:tcW w:w="2154" w:type="dxa"/>
                  <w:vAlign w:val="center"/>
                </w:tcPr>
                <w:p w:rsidR="00522688" w:rsidRDefault="004E4FBB">
                  <w:pPr>
                    <w:rPr>
                      <w:sz w:val="18"/>
                      <w:szCs w:val="18"/>
                    </w:rPr>
                  </w:pPr>
                  <w:r>
                    <w:rPr>
                      <w:sz w:val="18"/>
                      <w:szCs w:val="18"/>
                    </w:rPr>
                    <w:t xml:space="preserve">Hasta </w:t>
                  </w:r>
                  <w:r>
                    <w:rPr>
                      <w:sz w:val="18"/>
                      <w:szCs w:val="18"/>
                      <w:highlight w:val="lightGray"/>
                    </w:rPr>
                    <w:t>[la liquidación del Contrato o hasta la amortización del anticipo]</w:t>
                  </w:r>
                </w:p>
              </w:tc>
              <w:tc>
                <w:tcPr>
                  <w:tcW w:w="2154" w:type="dxa"/>
                  <w:vAlign w:val="center"/>
                </w:tcPr>
                <w:p w:rsidR="00522688" w:rsidRDefault="004E4FBB">
                  <w:pPr>
                    <w:rPr>
                      <w:sz w:val="18"/>
                      <w:szCs w:val="18"/>
                      <w:highlight w:val="lightGray"/>
                    </w:rPr>
                  </w:pPr>
                  <w:r>
                    <w:rPr>
                      <w:sz w:val="18"/>
                      <w:szCs w:val="18"/>
                      <w:highlight w:val="lightGray"/>
                    </w:rPr>
                    <w:t xml:space="preserve">[Ajustar valor </w:t>
                  </w:r>
                  <w:r>
                    <w:rPr>
                      <w:sz w:val="18"/>
                      <w:szCs w:val="18"/>
                      <w:highlight w:val="lightGray"/>
                    </w:rPr>
                    <w:t>dependiendo de lo dispuesto en el artículo 2.2.1.2.3.1.10. del Decreto 1082 de 2015]</w:t>
                  </w:r>
                </w:p>
              </w:tc>
            </w:tr>
            <w:tr w:rsidR="00522688">
              <w:trPr>
                <w:jc w:val="center"/>
              </w:trPr>
              <w:tc>
                <w:tcPr>
                  <w:tcW w:w="2154" w:type="dxa"/>
                  <w:vAlign w:val="center"/>
                </w:tcPr>
                <w:p w:rsidR="00522688" w:rsidRDefault="004E4FBB">
                  <w:pPr>
                    <w:rPr>
                      <w:sz w:val="18"/>
                      <w:szCs w:val="18"/>
                    </w:rPr>
                  </w:pPr>
                  <w:r>
                    <w:rPr>
                      <w:sz w:val="18"/>
                      <w:szCs w:val="18"/>
                    </w:rPr>
                    <w:t xml:space="preserve">Garantía de pago anticipado </w:t>
                  </w:r>
                  <w:r>
                    <w:rPr>
                      <w:sz w:val="18"/>
                      <w:szCs w:val="18"/>
                      <w:highlight w:val="lightGray"/>
                    </w:rPr>
                    <w:t>[En caso de aplicar]</w:t>
                  </w:r>
                </w:p>
              </w:tc>
              <w:tc>
                <w:tcPr>
                  <w:tcW w:w="2154" w:type="dxa"/>
                  <w:vAlign w:val="center"/>
                </w:tcPr>
                <w:p w:rsidR="00522688" w:rsidRDefault="004E4FBB">
                  <w:pPr>
                    <w:rPr>
                      <w:sz w:val="18"/>
                      <w:szCs w:val="18"/>
                    </w:rPr>
                  </w:pPr>
                  <w:r>
                    <w:rPr>
                      <w:sz w:val="18"/>
                      <w:szCs w:val="18"/>
                    </w:rPr>
                    <w:t xml:space="preserve">Hasta la </w:t>
                  </w:r>
                  <w:r>
                    <w:rPr>
                      <w:sz w:val="18"/>
                      <w:szCs w:val="18"/>
                      <w:highlight w:val="lightGray"/>
                    </w:rPr>
                    <w:t>[liquidación del Contrato o hasta que la Entidad Estatal verifique el cumplimiento de todas las actividades o la</w:t>
                  </w:r>
                  <w:r>
                    <w:rPr>
                      <w:sz w:val="18"/>
                      <w:szCs w:val="18"/>
                      <w:highlight w:val="lightGray"/>
                    </w:rPr>
                    <w:t xml:space="preserve"> entrega de todos los bienes o servicios asociados al pago anticipado]</w:t>
                  </w:r>
                </w:p>
              </w:tc>
              <w:tc>
                <w:tcPr>
                  <w:tcW w:w="2154" w:type="dxa"/>
                  <w:vAlign w:val="center"/>
                </w:tcPr>
                <w:p w:rsidR="00522688" w:rsidRDefault="004E4FBB">
                  <w:pPr>
                    <w:rPr>
                      <w:sz w:val="18"/>
                      <w:szCs w:val="18"/>
                      <w:highlight w:val="lightGray"/>
                    </w:rPr>
                  </w:pPr>
                  <w:r>
                    <w:rPr>
                      <w:sz w:val="18"/>
                      <w:szCs w:val="18"/>
                      <w:highlight w:val="lightGray"/>
                    </w:rPr>
                    <w:t>[Ajustar valor dependiendo de lo dispuesto en el artículo 2.2.1.2.3.1.11 del Decreto 1083 de 2015]</w:t>
                  </w:r>
                </w:p>
              </w:tc>
            </w:tr>
            <w:tr w:rsidR="00522688">
              <w:trPr>
                <w:jc w:val="center"/>
              </w:trPr>
              <w:tc>
                <w:tcPr>
                  <w:tcW w:w="2154" w:type="dxa"/>
                  <w:vAlign w:val="center"/>
                </w:tcPr>
                <w:p w:rsidR="00522688" w:rsidRDefault="004E4FBB">
                  <w:pPr>
                    <w:rPr>
                      <w:sz w:val="18"/>
                      <w:szCs w:val="18"/>
                    </w:rPr>
                  </w:pPr>
                  <w:r>
                    <w:rPr>
                      <w:sz w:val="18"/>
                      <w:szCs w:val="18"/>
                    </w:rPr>
                    <w:t>Pago de salarios, prestaciones sociales legales e indemnizaciones laborales del perso</w:t>
                  </w:r>
                  <w:r>
                    <w:rPr>
                      <w:sz w:val="18"/>
                      <w:szCs w:val="18"/>
                    </w:rPr>
                    <w:t>nal que el contratista haya de utilizar en el territorio nacional para la ejecución del Contrato</w:t>
                  </w:r>
                </w:p>
              </w:tc>
              <w:tc>
                <w:tcPr>
                  <w:tcW w:w="2154" w:type="dxa"/>
                  <w:vAlign w:val="center"/>
                </w:tcPr>
                <w:p w:rsidR="00522688" w:rsidRDefault="004E4FBB">
                  <w:pPr>
                    <w:rPr>
                      <w:sz w:val="18"/>
                      <w:szCs w:val="18"/>
                    </w:rPr>
                  </w:pPr>
                  <w:r>
                    <w:rPr>
                      <w:sz w:val="18"/>
                      <w:szCs w:val="18"/>
                    </w:rPr>
                    <w:t>Plazo del Contrato y tres (3) años más.</w:t>
                  </w:r>
                </w:p>
              </w:tc>
              <w:tc>
                <w:tcPr>
                  <w:tcW w:w="2154" w:type="dxa"/>
                  <w:vAlign w:val="center"/>
                </w:tcPr>
                <w:p w:rsidR="00522688" w:rsidRDefault="004E4FBB">
                  <w:pPr>
                    <w:rPr>
                      <w:sz w:val="18"/>
                      <w:szCs w:val="18"/>
                      <w:highlight w:val="lightGray"/>
                    </w:rPr>
                  </w:pPr>
                  <w:r>
                    <w:rPr>
                      <w:sz w:val="18"/>
                      <w:szCs w:val="18"/>
                      <w:highlight w:val="lightGray"/>
                    </w:rPr>
                    <w:t>[Ajustar valor dependiendo de lo dispuesto en el artículo 2.2.1.2.3.1.13. del Decreto 1082 de 2015].</w:t>
                  </w:r>
                </w:p>
              </w:tc>
            </w:tr>
            <w:tr w:rsidR="00522688">
              <w:trPr>
                <w:jc w:val="center"/>
              </w:trPr>
              <w:tc>
                <w:tcPr>
                  <w:tcW w:w="2154" w:type="dxa"/>
                  <w:vAlign w:val="center"/>
                </w:tcPr>
                <w:p w:rsidR="00522688" w:rsidRDefault="004E4FBB">
                  <w:pPr>
                    <w:rPr>
                      <w:sz w:val="18"/>
                      <w:szCs w:val="18"/>
                    </w:rPr>
                  </w:pPr>
                  <w:r>
                    <w:rPr>
                      <w:sz w:val="18"/>
                      <w:szCs w:val="18"/>
                    </w:rPr>
                    <w:t>Calidad del Servi</w:t>
                  </w:r>
                  <w:r>
                    <w:rPr>
                      <w:sz w:val="18"/>
                      <w:szCs w:val="18"/>
                    </w:rPr>
                    <w:t>cio</w:t>
                  </w:r>
                </w:p>
                <w:p w:rsidR="00522688" w:rsidRDefault="004E4FBB">
                  <w:pPr>
                    <w:rPr>
                      <w:sz w:val="18"/>
                      <w:szCs w:val="18"/>
                    </w:rPr>
                  </w:pPr>
                  <w:r>
                    <w:rPr>
                      <w:sz w:val="18"/>
                      <w:szCs w:val="18"/>
                    </w:rPr>
                    <w:t>por los perjuicios derivados de la deficiente calidad del servicio prestado.</w:t>
                  </w:r>
                </w:p>
              </w:tc>
              <w:tc>
                <w:tcPr>
                  <w:tcW w:w="2154" w:type="dxa"/>
                  <w:vAlign w:val="center"/>
                </w:tcPr>
                <w:p w:rsidR="00522688" w:rsidRDefault="004E4FBB">
                  <w:pPr>
                    <w:rPr>
                      <w:sz w:val="18"/>
                      <w:szCs w:val="18"/>
                    </w:rPr>
                  </w:pPr>
                  <w:r>
                    <w:rPr>
                      <w:sz w:val="18"/>
                      <w:szCs w:val="18"/>
                      <w:highlight w:val="lightGray"/>
                    </w:rPr>
                    <w:t>[La Entidad definirá el plazo de acuerdo con los parámetros del Decreto 1082 de 2015].</w:t>
                  </w:r>
                </w:p>
              </w:tc>
              <w:tc>
                <w:tcPr>
                  <w:tcW w:w="2154" w:type="dxa"/>
                  <w:vAlign w:val="center"/>
                </w:tcPr>
                <w:p w:rsidR="00522688" w:rsidRDefault="004E4FBB">
                  <w:pPr>
                    <w:rPr>
                      <w:sz w:val="18"/>
                      <w:szCs w:val="18"/>
                      <w:highlight w:val="lightGray"/>
                    </w:rPr>
                  </w:pPr>
                  <w:r>
                    <w:rPr>
                      <w:sz w:val="18"/>
                      <w:szCs w:val="18"/>
                      <w:highlight w:val="lightGray"/>
                    </w:rPr>
                    <w:t>[La Entidad definirá el valor de acuerdo con el objeto, el valor, la naturaleza y las obligaciones contenidas en el contrato de Consultoría]</w:t>
                  </w:r>
                </w:p>
              </w:tc>
            </w:tr>
            <w:tr w:rsidR="00522688">
              <w:trPr>
                <w:jc w:val="center"/>
              </w:trPr>
              <w:tc>
                <w:tcPr>
                  <w:tcW w:w="2154" w:type="dxa"/>
                  <w:vAlign w:val="center"/>
                </w:tcPr>
                <w:p w:rsidR="00522688" w:rsidRDefault="004E4FBB">
                  <w:pPr>
                    <w:rPr>
                      <w:sz w:val="18"/>
                      <w:szCs w:val="18"/>
                    </w:rPr>
                  </w:pPr>
                  <w:r>
                    <w:rPr>
                      <w:sz w:val="18"/>
                      <w:szCs w:val="18"/>
                      <w:highlight w:val="lightGray"/>
                    </w:rPr>
                    <w:t>[Incluir amparos adicionales en los términos descritos en el Decreto 1082 de 2015]</w:t>
                  </w:r>
                </w:p>
              </w:tc>
              <w:tc>
                <w:tcPr>
                  <w:tcW w:w="2154" w:type="dxa"/>
                  <w:vAlign w:val="center"/>
                </w:tcPr>
                <w:p w:rsidR="00522688" w:rsidRDefault="00522688">
                  <w:pPr>
                    <w:rPr>
                      <w:sz w:val="18"/>
                      <w:szCs w:val="18"/>
                    </w:rPr>
                  </w:pPr>
                </w:p>
              </w:tc>
              <w:tc>
                <w:tcPr>
                  <w:tcW w:w="2154" w:type="dxa"/>
                  <w:vAlign w:val="center"/>
                </w:tcPr>
                <w:p w:rsidR="00522688" w:rsidRDefault="00522688">
                  <w:pPr>
                    <w:rPr>
                      <w:sz w:val="18"/>
                      <w:szCs w:val="18"/>
                    </w:rPr>
                  </w:pPr>
                </w:p>
              </w:tc>
            </w:tr>
          </w:tbl>
          <w:p w:rsidR="00522688" w:rsidRDefault="00522688">
            <w:pPr>
              <w:rPr>
                <w:sz w:val="18"/>
                <w:szCs w:val="18"/>
              </w:rPr>
            </w:pPr>
          </w:p>
          <w:p w:rsidR="00522688" w:rsidRDefault="00522688">
            <w:pPr>
              <w:rPr>
                <w:sz w:val="18"/>
                <w:szCs w:val="18"/>
              </w:rPr>
            </w:pPr>
          </w:p>
        </w:tc>
      </w:tr>
      <w:tr w:rsidR="00522688">
        <w:trPr>
          <w:trHeight w:val="283"/>
          <w:jc w:val="center"/>
        </w:trPr>
        <w:tc>
          <w:tcPr>
            <w:tcW w:w="1407" w:type="dxa"/>
            <w:vAlign w:val="center"/>
          </w:tcPr>
          <w:p w:rsidR="00522688" w:rsidRDefault="004E4FBB">
            <w:pPr>
              <w:rPr>
                <w:sz w:val="18"/>
                <w:szCs w:val="18"/>
              </w:rPr>
            </w:pPr>
            <w:r>
              <w:rPr>
                <w:sz w:val="18"/>
                <w:szCs w:val="18"/>
              </w:rPr>
              <w:lastRenderedPageBreak/>
              <w:t>Tomador</w:t>
            </w:r>
          </w:p>
        </w:tc>
        <w:tc>
          <w:tcPr>
            <w:tcW w:w="7093" w:type="dxa"/>
            <w:vAlign w:val="center"/>
          </w:tcPr>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 xml:space="preserve">Para las personas jurídicas: la Garantía deberá tomarse con el nombre o razón social y tipo societario que figura en el Certificado de Existencia y Representación Legal expedido por la Cámara de Comercio respectiva, y no sólo con su sigla, a no ser que en </w:t>
            </w:r>
            <w:r>
              <w:rPr>
                <w:rFonts w:eastAsia="Arial" w:cs="Arial"/>
                <w:color w:val="000000"/>
                <w:sz w:val="18"/>
                <w:szCs w:val="18"/>
              </w:rPr>
              <w:t>el referido documento se exprese que la sociedad podrá denominarse de esa manera.</w:t>
            </w:r>
          </w:p>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No se aceptan Garantías a nombre del representante legal o de alguno de los integrantes del Consorcio o la Unión Temporal. Cuando el Contratista sea una Unión Temporal o Cons</w:t>
            </w:r>
            <w:r>
              <w:rPr>
                <w:rFonts w:eastAsia="Arial" w:cs="Arial"/>
                <w:color w:val="000000"/>
                <w:sz w:val="18"/>
                <w:szCs w:val="18"/>
              </w:rPr>
              <w:t>orcio, se debe incluir la razón social, el NIT y el porcentaje de participación de cada uno de los integrantes.</w:t>
            </w:r>
          </w:p>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 xml:space="preserve">Para el Contratista conformado por una estructura plural (Unión temporal, Consorcio), la Garantía deberá ser otorgada por todos los integrantes </w:t>
            </w:r>
            <w:r>
              <w:rPr>
                <w:rFonts w:eastAsia="Arial" w:cs="Arial"/>
                <w:color w:val="000000"/>
                <w:sz w:val="18"/>
                <w:szCs w:val="18"/>
              </w:rPr>
              <w:t>del Contratista, para lo cual se deberá relacionar claramente los integrantes, su identificación y porcentaje de participación, quienes para todos los efectos serán los otorgantes de la misma.</w:t>
            </w:r>
          </w:p>
        </w:tc>
      </w:tr>
      <w:tr w:rsidR="00522688">
        <w:trPr>
          <w:trHeight w:val="283"/>
          <w:jc w:val="center"/>
        </w:trPr>
        <w:tc>
          <w:tcPr>
            <w:tcW w:w="1407" w:type="dxa"/>
            <w:vAlign w:val="center"/>
          </w:tcPr>
          <w:p w:rsidR="00522688" w:rsidRDefault="004E4FBB">
            <w:pPr>
              <w:rPr>
                <w:sz w:val="18"/>
                <w:szCs w:val="18"/>
              </w:rPr>
            </w:pPr>
            <w:r>
              <w:rPr>
                <w:sz w:val="18"/>
                <w:szCs w:val="18"/>
              </w:rPr>
              <w:t>Información necesaria dentro de la póliza</w:t>
            </w:r>
          </w:p>
        </w:tc>
        <w:tc>
          <w:tcPr>
            <w:tcW w:w="7093" w:type="dxa"/>
            <w:vAlign w:val="center"/>
          </w:tcPr>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Número y año del Con</w:t>
            </w:r>
            <w:r>
              <w:rPr>
                <w:rFonts w:eastAsia="Arial" w:cs="Arial"/>
                <w:color w:val="000000"/>
                <w:sz w:val="18"/>
                <w:szCs w:val="18"/>
              </w:rPr>
              <w:t xml:space="preserve">trato </w:t>
            </w:r>
          </w:p>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Objeto del Contrato</w:t>
            </w:r>
          </w:p>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Firma del representante legal del Contratista</w:t>
            </w:r>
          </w:p>
          <w:p w:rsidR="00522688" w:rsidRDefault="004E4FBB">
            <w:pPr>
              <w:numPr>
                <w:ilvl w:val="0"/>
                <w:numId w:val="27"/>
              </w:numPr>
              <w:pBdr>
                <w:top w:val="nil"/>
                <w:left w:val="nil"/>
                <w:bottom w:val="nil"/>
                <w:right w:val="nil"/>
                <w:between w:val="nil"/>
              </w:pBdr>
              <w:ind w:left="329" w:hanging="283"/>
              <w:rPr>
                <w:rFonts w:eastAsia="Arial" w:cs="Arial"/>
                <w:color w:val="000000"/>
                <w:sz w:val="18"/>
                <w:szCs w:val="18"/>
              </w:rPr>
            </w:pPr>
            <w:r>
              <w:rPr>
                <w:rFonts w:eastAsia="Arial" w:cs="Arial"/>
                <w:color w:val="000000"/>
                <w:sz w:val="18"/>
                <w:szCs w:val="18"/>
              </w:rPr>
              <w:t>En caso de no usar centavos, los valores deben aproximarse al mayor Ej. cumplimiento si el valor a asegurar es $14.980.420,20 aproximar a $14.980.421</w:t>
            </w:r>
          </w:p>
        </w:tc>
      </w:tr>
    </w:tbl>
    <w:p w:rsidR="00522688" w:rsidRDefault="00522688"/>
    <w:p w:rsidR="00522688" w:rsidRDefault="004E4FBB">
      <w:r>
        <w:t xml:space="preserve">El Contratista está obligado a </w:t>
      </w:r>
      <w:r>
        <w:t>restablecer el valor de la Garantía cuando esta se vea reducida por razón de las reclamaciones que efectúe la Entidad, así como a ampliar las garantías en los eventos de adición y/o prórroga del Contrato. El no restablecimiento de la Garantía por parte del</w:t>
      </w:r>
      <w:r>
        <w:t xml:space="preserve"> Contratista o su no adición o prórroga, según el caso, constituye causal de incumplimiento del Contrato y se iniciarán los procesos sancionatorios a que haya lugar.</w:t>
      </w:r>
    </w:p>
    <w:p w:rsidR="00522688" w:rsidRDefault="00522688"/>
    <w:p w:rsidR="00522688" w:rsidRDefault="004E4FBB">
      <w:r>
        <w:rPr>
          <w:highlight w:val="lightGray"/>
        </w:rPr>
        <w:t>[En los casos que el plazo del Contrato sea mayor a cinco (5) años, las Garantías pueden cubrir los Riesgos de la etapa del Contrato o del período contractual en los términos del artículo 2.2.1.2.3.1.3. del Decreto 1082 de 2015]</w:t>
      </w:r>
    </w:p>
    <w:p w:rsidR="00522688" w:rsidRDefault="00522688"/>
    <w:p w:rsidR="00522688" w:rsidRDefault="004E4FBB">
      <w:pPr>
        <w:pStyle w:val="Ttulo3"/>
        <w:numPr>
          <w:ilvl w:val="2"/>
          <w:numId w:val="38"/>
        </w:numPr>
        <w:ind w:left="709" w:hanging="709"/>
      </w:pPr>
      <w:bookmarkStart w:id="79" w:name="_heading=h.1baon6m" w:colFirst="0" w:colLast="0"/>
      <w:bookmarkEnd w:id="79"/>
      <w:r>
        <w:t xml:space="preserve">DEL AMPARO DE CALIDAD DEL </w:t>
      </w:r>
      <w:r>
        <w:t>SERVICIO EN LA GARANTÍA ÚNICA DE CUMPLIMIENTO</w:t>
      </w:r>
    </w:p>
    <w:p w:rsidR="00522688" w:rsidRDefault="00522688"/>
    <w:p w:rsidR="00522688" w:rsidRDefault="004E4FBB">
      <w:r>
        <w:t>En relación con el amparo de calidad del servicio de la Garantía única de cumplimiento, se tendrá en cuenta que el Contratista será responsable por los perjuicios causados a la Entidad contratante que se produ</w:t>
      </w:r>
      <w:r>
        <w:t>zcan con posterioridad a la terminación del Contrato y que se compruebe tienen su causa en una de dos hipótesis (i) mala calidad o precariedad de los productos entregados como resultado de la celebración de un contrato estatal y (ii) mala calidad del servi</w:t>
      </w:r>
      <w:r>
        <w:t>cio prestado, siempre y cuando se acredite que éstos son imputables al contratista.</w:t>
      </w:r>
    </w:p>
    <w:p w:rsidR="00522688" w:rsidRDefault="00522688"/>
    <w:p w:rsidR="00522688" w:rsidRDefault="004E4FBB">
      <w:r>
        <w:rPr>
          <w:highlight w:val="lightGray"/>
        </w:rPr>
        <w:t>[La Entidad podrá incluir la garantía de responsabilidad civil extracontractual u otras garantías que considere necesarias en los términos del Decreto 1082 de 2015 y la Le</w:t>
      </w:r>
      <w:r>
        <w:rPr>
          <w:highlight w:val="lightGray"/>
        </w:rPr>
        <w:t>y 1480 de 2011, para lo cual podrá adaptar este numeral]</w:t>
      </w:r>
    </w:p>
    <w:p w:rsidR="00522688" w:rsidRDefault="00522688"/>
    <w:p w:rsidR="00522688" w:rsidRDefault="00522688">
      <w:pPr>
        <w:tabs>
          <w:tab w:val="left" w:pos="1860"/>
        </w:tabs>
      </w:pPr>
    </w:p>
    <w:p w:rsidR="00522688" w:rsidRDefault="004E4FBB">
      <w:pPr>
        <w:tabs>
          <w:tab w:val="left" w:pos="1860"/>
        </w:tabs>
      </w:pPr>
      <w:r>
        <w:rPr>
          <w:highlight w:val="yellow"/>
        </w:rPr>
        <w:t>(Incluya el siguiente numeral si es aplicable de lo contrario elimínelo.)</w:t>
      </w:r>
    </w:p>
    <w:p w:rsidR="00522688" w:rsidRDefault="004E4FBB">
      <w:pPr>
        <w:keepNext/>
        <w:keepLines/>
        <w:spacing w:before="40" w:after="120" w:line="259" w:lineRule="auto"/>
        <w:ind w:left="720" w:hanging="720"/>
        <w:rPr>
          <w:b/>
          <w:smallCaps/>
          <w:color w:val="000000"/>
          <w:highlight w:val="yellow"/>
        </w:rPr>
      </w:pPr>
      <w:bookmarkStart w:id="80" w:name="_heading=h.3vac5uf" w:colFirst="0" w:colLast="0"/>
      <w:bookmarkEnd w:id="80"/>
      <w:r>
        <w:rPr>
          <w:b/>
          <w:color w:val="000000"/>
          <w:highlight w:val="yellow"/>
        </w:rPr>
        <w:t>8.2.3 GARANTÍA DE RESPONSABILIDAD CIVIL EXTRACONTRACTUAL</w:t>
      </w:r>
    </w:p>
    <w:p w:rsidR="00522688" w:rsidRDefault="004E4FBB">
      <w:pPr>
        <w:spacing w:after="160" w:line="259" w:lineRule="auto"/>
        <w:rPr>
          <w:color w:val="000000"/>
          <w:highlight w:val="yellow"/>
        </w:rPr>
      </w:pPr>
      <w:r>
        <w:rPr>
          <w:color w:val="000000"/>
          <w:highlight w:val="yellow"/>
        </w:rPr>
        <w:t>El contratista deberá contratar un seguro que ampare la responsabi</w:t>
      </w:r>
      <w:r>
        <w:rPr>
          <w:color w:val="000000"/>
          <w:highlight w:val="yellow"/>
        </w:rPr>
        <w:t>lidad civil extracontractual de la Entidad con las siguientes características:</w:t>
      </w:r>
    </w:p>
    <w:tbl>
      <w:tblPr>
        <w:tblStyle w:val="af1"/>
        <w:tblW w:w="89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46"/>
        <w:gridCol w:w="6973"/>
      </w:tblGrid>
      <w:tr w:rsidR="00522688">
        <w:trPr>
          <w:trHeight w:val="20"/>
          <w:tblHeader/>
          <w:jc w:val="center"/>
        </w:trPr>
        <w:tc>
          <w:tcPr>
            <w:tcW w:w="1946"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522688" w:rsidRDefault="004E4FBB">
            <w:pPr>
              <w:jc w:val="center"/>
              <w:rPr>
                <w:b/>
                <w:color w:val="FFFFFF"/>
                <w:highlight w:val="yellow"/>
              </w:rPr>
            </w:pPr>
            <w:r>
              <w:rPr>
                <w:b/>
                <w:color w:val="FFFFFF"/>
                <w:highlight w:val="yellow"/>
              </w:rPr>
              <w:lastRenderedPageBreak/>
              <w:t>Característica</w:t>
            </w:r>
          </w:p>
        </w:tc>
        <w:tc>
          <w:tcPr>
            <w:tcW w:w="697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522688" w:rsidRDefault="004E4FBB">
            <w:pPr>
              <w:jc w:val="center"/>
              <w:rPr>
                <w:b/>
                <w:color w:val="FFFFFF"/>
                <w:highlight w:val="yellow"/>
              </w:rPr>
            </w:pPr>
            <w:r>
              <w:rPr>
                <w:b/>
                <w:color w:val="FFFFFF"/>
                <w:highlight w:val="yellow"/>
              </w:rPr>
              <w:t>Condición</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Clase</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rPr>
                <w:highlight w:val="yellow"/>
              </w:rPr>
            </w:pPr>
            <w:r>
              <w:rPr>
                <w:highlight w:val="yellow"/>
              </w:rPr>
              <w:t xml:space="preserve">Contrato de seguro contenido en una póliza </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Asegurados</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rPr>
                <w:highlight w:val="yellow"/>
              </w:rPr>
            </w:pPr>
            <w:r>
              <w:rPr>
                <w:highlight w:val="yellow"/>
              </w:rPr>
              <w:t>INSTITUTO DE DESARROLLO URBANO - IDU identificado con NIT 899.999.081-6</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Tomador</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numPr>
                <w:ilvl w:val="0"/>
                <w:numId w:val="30"/>
              </w:numPr>
              <w:rPr>
                <w:color w:val="000000"/>
                <w:highlight w:val="yellow"/>
              </w:rPr>
            </w:pPr>
            <w:r>
              <w:rPr>
                <w:color w:val="000000"/>
                <w:highlight w:val="yellow"/>
              </w:rPr>
              <w:t xml:space="preserve">Para las personas jurídicas: la garantía deberá tomarse con el nombre o razón social y tipo societario que figura en el certificado de existencia y representación legal expedido por la Cámara de Comercio respectiva, y no sólo con su sigla, a no ser que en </w:t>
            </w:r>
            <w:r>
              <w:rPr>
                <w:color w:val="000000"/>
                <w:highlight w:val="yellow"/>
              </w:rPr>
              <w:t>el referido documento se exprese que la sociedad podrá denominarse de esa manera.</w:t>
            </w:r>
          </w:p>
          <w:p w:rsidR="00522688" w:rsidRDefault="004E4FBB">
            <w:pPr>
              <w:numPr>
                <w:ilvl w:val="0"/>
                <w:numId w:val="30"/>
              </w:numPr>
              <w:rPr>
                <w:color w:val="000000"/>
                <w:highlight w:val="yellow"/>
              </w:rPr>
            </w:pPr>
            <w:r>
              <w:rPr>
                <w:color w:val="000000"/>
                <w:highlight w:val="yellow"/>
              </w:rPr>
              <w:t>No se aceptan garantías a nombre del representante legal o de alguno de los integrantes del consorcio. Cuando el contratista sea una unión temporal o consorcio, se debe inclu</w:t>
            </w:r>
            <w:r>
              <w:rPr>
                <w:color w:val="000000"/>
                <w:highlight w:val="yellow"/>
              </w:rPr>
              <w:t>ir razón social, NIT y porcentaje de participación de cada uno de los integrantes.</w:t>
            </w:r>
          </w:p>
          <w:p w:rsidR="00522688" w:rsidRDefault="004E4FBB">
            <w:pPr>
              <w:numPr>
                <w:ilvl w:val="0"/>
                <w:numId w:val="30"/>
              </w:numPr>
              <w:rPr>
                <w:color w:val="000000"/>
                <w:highlight w:val="yellow"/>
              </w:rPr>
            </w:pPr>
            <w:r>
              <w:rPr>
                <w:color w:val="000000"/>
                <w:highlight w:val="yellow"/>
              </w:rPr>
              <w:t>Para el contratista conformado por una estructura plural (unión temporal, consorcio): la garantía deberá ser otorgada por todos los integrantes de la estructura plural, para</w:t>
            </w:r>
            <w:r>
              <w:rPr>
                <w:color w:val="000000"/>
                <w:highlight w:val="yellow"/>
              </w:rPr>
              <w:t xml:space="preserve"> lo cual se deberá relacionar claramente los integrantes, su identificación y porcentaje de participación, quienes para todos los efectos serán los otorgantes de la misma. </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Valor</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shd w:val="clear" w:color="auto" w:fill="FFFFFF"/>
              <w:spacing w:after="150"/>
              <w:rPr>
                <w:highlight w:val="yellow"/>
              </w:rPr>
            </w:pPr>
            <w:r>
              <w:rPr>
                <w:highlight w:val="yellow"/>
              </w:rPr>
              <w:t>[La entidad debe definir el valor del amparo de acuerdo con el artículo 2.2.</w:t>
            </w:r>
            <w:r>
              <w:rPr>
                <w:highlight w:val="yellow"/>
              </w:rPr>
              <w:t xml:space="preserve">1.2.3.1.17. del Decreto 1082 de 2015] </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Vigencia</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rPr>
                <w:highlight w:val="yellow"/>
              </w:rPr>
            </w:pPr>
            <w:r>
              <w:rPr>
                <w:highlight w:val="yellow"/>
              </w:rPr>
              <w:t>Igual al período de ejecución del contrato.</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Beneficiarios</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rPr>
                <w:highlight w:val="yellow"/>
              </w:rPr>
            </w:pPr>
            <w:r>
              <w:rPr>
                <w:highlight w:val="yellow"/>
              </w:rPr>
              <w:t>Terceros afectados e INSTITUTO DE DESARROLLO URBANO - IDU identificado con NIT 899.999.081-6</w:t>
            </w:r>
          </w:p>
        </w:tc>
      </w:tr>
      <w:tr w:rsidR="00522688">
        <w:trPr>
          <w:trHeight w:val="2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Amparos</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522688">
            <w:pPr>
              <w:rPr>
                <w:highlight w:val="yellow"/>
              </w:rPr>
            </w:pPr>
          </w:p>
          <w:p w:rsidR="00522688" w:rsidRDefault="004E4FBB">
            <w:pPr>
              <w:rPr>
                <w:highlight w:val="yellow"/>
              </w:rPr>
            </w:pPr>
            <w:r>
              <w:rPr>
                <w:highlight w:val="yellow"/>
              </w:rPr>
              <w:t>Responsabilidad Civil Extracontractual de la entidad, derivada de las actuaciones, hechos u omisiones del contratista o subcontratistas autorizados. El seguro de responsabilidad civil extracontractual debe contener como mínimo los amparos descritos en el n</w:t>
            </w:r>
            <w:r>
              <w:rPr>
                <w:highlight w:val="yellow"/>
              </w:rPr>
              <w:t>umeral 3º del artículo 2.2.1.2.3.2.9 del Decreto 1082 de 2015.</w:t>
            </w:r>
          </w:p>
          <w:p w:rsidR="00522688" w:rsidRDefault="00522688">
            <w:pPr>
              <w:rPr>
                <w:highlight w:val="yellow"/>
              </w:rPr>
            </w:pPr>
          </w:p>
        </w:tc>
      </w:tr>
      <w:tr w:rsidR="00522688">
        <w:trPr>
          <w:trHeight w:val="70"/>
          <w:jc w:val="center"/>
        </w:trPr>
        <w:tc>
          <w:tcPr>
            <w:tcW w:w="1946" w:type="dxa"/>
            <w:tcBorders>
              <w:top w:val="single" w:sz="4" w:space="0" w:color="000000"/>
              <w:left w:val="single" w:sz="4" w:space="0" w:color="000000"/>
              <w:bottom w:val="single" w:sz="4" w:space="0" w:color="000000"/>
              <w:right w:val="single" w:sz="4" w:space="0" w:color="000000"/>
            </w:tcBorders>
            <w:vAlign w:val="center"/>
          </w:tcPr>
          <w:p w:rsidR="00522688" w:rsidRDefault="004E4FBB">
            <w:pPr>
              <w:jc w:val="center"/>
              <w:rPr>
                <w:highlight w:val="yellow"/>
              </w:rPr>
            </w:pPr>
            <w:r>
              <w:rPr>
                <w:highlight w:val="yellow"/>
              </w:rPr>
              <w:t>Información necesaria dentro de la póliza</w:t>
            </w:r>
          </w:p>
        </w:tc>
        <w:tc>
          <w:tcPr>
            <w:tcW w:w="6973" w:type="dxa"/>
            <w:tcBorders>
              <w:top w:val="single" w:sz="4" w:space="0" w:color="000000"/>
              <w:left w:val="single" w:sz="4" w:space="0" w:color="000000"/>
              <w:bottom w:val="single" w:sz="4" w:space="0" w:color="000000"/>
              <w:right w:val="single" w:sz="4" w:space="0" w:color="000000"/>
            </w:tcBorders>
            <w:vAlign w:val="center"/>
          </w:tcPr>
          <w:p w:rsidR="00522688" w:rsidRDefault="004E4FBB">
            <w:pPr>
              <w:numPr>
                <w:ilvl w:val="0"/>
                <w:numId w:val="30"/>
              </w:numPr>
              <w:rPr>
                <w:color w:val="000000"/>
                <w:highlight w:val="yellow"/>
              </w:rPr>
            </w:pPr>
            <w:r>
              <w:rPr>
                <w:color w:val="000000"/>
                <w:highlight w:val="yellow"/>
              </w:rPr>
              <w:t xml:space="preserve">Número y año del contrato </w:t>
            </w:r>
          </w:p>
          <w:p w:rsidR="00522688" w:rsidRDefault="004E4FBB">
            <w:pPr>
              <w:numPr>
                <w:ilvl w:val="0"/>
                <w:numId w:val="30"/>
              </w:numPr>
              <w:rPr>
                <w:color w:val="000000"/>
                <w:highlight w:val="yellow"/>
              </w:rPr>
            </w:pPr>
            <w:r>
              <w:rPr>
                <w:color w:val="000000"/>
                <w:highlight w:val="yellow"/>
              </w:rPr>
              <w:t>Objeto del contrato</w:t>
            </w:r>
          </w:p>
          <w:p w:rsidR="00522688" w:rsidRDefault="004E4FBB">
            <w:pPr>
              <w:numPr>
                <w:ilvl w:val="0"/>
                <w:numId w:val="30"/>
              </w:numPr>
              <w:rPr>
                <w:color w:val="000000"/>
                <w:highlight w:val="yellow"/>
              </w:rPr>
            </w:pPr>
            <w:r>
              <w:rPr>
                <w:color w:val="000000"/>
                <w:highlight w:val="yellow"/>
              </w:rPr>
              <w:t>Firma del representante legal del contratista</w:t>
            </w:r>
          </w:p>
          <w:p w:rsidR="00522688" w:rsidRDefault="004E4FBB">
            <w:pPr>
              <w:numPr>
                <w:ilvl w:val="0"/>
                <w:numId w:val="30"/>
              </w:numPr>
              <w:rPr>
                <w:color w:val="000000"/>
                <w:highlight w:val="yellow"/>
              </w:rPr>
            </w:pPr>
            <w:r>
              <w:rPr>
                <w:color w:val="000000"/>
                <w:highlight w:val="yellow"/>
              </w:rPr>
              <w:t>En caso de no usar centavos, los valores deben aproximar</w:t>
            </w:r>
            <w:r>
              <w:rPr>
                <w:color w:val="000000"/>
                <w:highlight w:val="yellow"/>
              </w:rPr>
              <w:t>se al mayor Ej. Cumplimiento si el valor a asegurar es $14.980.420,20 aproximar a $14.980.421</w:t>
            </w:r>
          </w:p>
        </w:tc>
      </w:tr>
    </w:tbl>
    <w:p w:rsidR="00522688" w:rsidRDefault="00522688">
      <w:pPr>
        <w:spacing w:after="160" w:line="259" w:lineRule="auto"/>
        <w:rPr>
          <w:color w:val="000000"/>
          <w:highlight w:val="yellow"/>
        </w:rPr>
      </w:pPr>
    </w:p>
    <w:p w:rsidR="00522688" w:rsidRDefault="004E4FBB">
      <w:pPr>
        <w:spacing w:after="160" w:line="259" w:lineRule="auto"/>
        <w:rPr>
          <w:color w:val="000000"/>
          <w:highlight w:val="yellow"/>
        </w:rPr>
      </w:pPr>
      <w:r>
        <w:rPr>
          <w:color w:val="000000"/>
          <w:highlight w:val="yellow"/>
        </w:rPr>
        <w:t>En esta póliza solamente se podrán pactar deducibles con un tope máximo del diez por ciento (10%) del valor de cada pérdida sin que en ningún caso puedan ser superiores a dos mil (2.000) SMMLV</w:t>
      </w:r>
    </w:p>
    <w:p w:rsidR="00522688" w:rsidRDefault="004E4FBB">
      <w:pPr>
        <w:spacing w:after="160" w:line="259" w:lineRule="auto"/>
        <w:rPr>
          <w:color w:val="000000"/>
          <w:highlight w:val="yellow"/>
        </w:rPr>
      </w:pPr>
      <w:r>
        <w:rPr>
          <w:color w:val="000000"/>
          <w:highlight w:val="yellow"/>
        </w:rPr>
        <w:t>Este seguro deberá constituirse y presentarse para aprobación d</w:t>
      </w:r>
      <w:r>
        <w:rPr>
          <w:color w:val="000000"/>
          <w:highlight w:val="yellow"/>
        </w:rPr>
        <w:t xml:space="preserve">e la entidad, dentro del mismo término establecido para la garantía única de cumplimiento. </w:t>
      </w:r>
    </w:p>
    <w:p w:rsidR="00522688" w:rsidRDefault="004E4FBB">
      <w:pPr>
        <w:spacing w:after="160" w:line="259" w:lineRule="auto"/>
        <w:rPr>
          <w:color w:val="000000"/>
          <w:highlight w:val="yellow"/>
        </w:rPr>
      </w:pPr>
      <w:r>
        <w:rPr>
          <w:color w:val="000000"/>
          <w:highlight w:val="yellow"/>
        </w:rPr>
        <w:t>Las franquicias, coaseguros obligatorios y demás formas de estipulación que conlleven asunción de parte de la pérdida por la entidad asegurada no serán admisibles.</w:t>
      </w:r>
    </w:p>
    <w:p w:rsidR="00522688" w:rsidRDefault="004E4FBB">
      <w:pPr>
        <w:spacing w:after="160" w:line="259" w:lineRule="auto"/>
        <w:rPr>
          <w:color w:val="000000"/>
        </w:rPr>
      </w:pPr>
      <w:r>
        <w:rPr>
          <w:color w:val="000000"/>
          <w:highlight w:val="yellow"/>
        </w:rPr>
        <w:t>El contratista deberá anexar el comprobante de pago de la prima del seguro de responsabilidad civil extracontractual.</w:t>
      </w:r>
    </w:p>
    <w:p w:rsidR="00522688" w:rsidRDefault="00522688"/>
    <w:p w:rsidR="00522688" w:rsidRDefault="00522688"/>
    <w:p w:rsidR="00522688" w:rsidRDefault="00522688"/>
    <w:p w:rsidR="00522688" w:rsidRDefault="00522688"/>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81" w:name="_heading=h.2afmg28" w:colFirst="0" w:colLast="0"/>
      <w:bookmarkEnd w:id="81"/>
      <w:r>
        <w:lastRenderedPageBreak/>
        <w:t>MINUTA Y CONDICIONES DEL CONTRATO</w:t>
      </w:r>
    </w:p>
    <w:p w:rsidR="00522688" w:rsidRDefault="00522688">
      <w:pPr>
        <w:numPr>
          <w:ilvl w:val="0"/>
          <w:numId w:val="15"/>
        </w:numPr>
        <w:pBdr>
          <w:top w:val="nil"/>
          <w:left w:val="nil"/>
          <w:bottom w:val="nil"/>
          <w:right w:val="nil"/>
          <w:between w:val="nil"/>
        </w:pBdr>
        <w:rPr>
          <w:color w:val="000000"/>
        </w:rPr>
      </w:pPr>
    </w:p>
    <w:p w:rsidR="00522688" w:rsidRDefault="004E4FBB">
      <w:r>
        <w:t>Las condiciones de ejecución del Contrato están previstas en el “Anexo 5 – Minuta del Contrato de consultoría”. Dentro de estas condiciones se incluye la forma de pago, anticipo, obligaciones y derechos generales del contratista, obligaciones de la Entidad</w:t>
      </w:r>
      <w:r>
        <w:t xml:space="preserve">, Garantías, multas, cláusula penal y otras condiciones particulares aplicables al negocio jurídico a celebrar. </w:t>
      </w:r>
    </w:p>
    <w:p w:rsidR="00522688" w:rsidRDefault="00522688"/>
    <w:p w:rsidR="00522688" w:rsidRDefault="004E4FBB">
      <w:r>
        <w:t xml:space="preserve">El Proponente adjudicatario debe presentar el Registro Único Tributario — RUT y demás documentos necesarios para celebrar el Contrato. </w:t>
      </w:r>
    </w:p>
    <w:p w:rsidR="00522688" w:rsidRDefault="00522688"/>
    <w:p w:rsidR="00522688" w:rsidRDefault="004E4FBB">
      <w:r>
        <w:rPr>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w:t>
      </w:r>
      <w:r>
        <w:rPr>
          <w:highlight w:val="lightGray"/>
        </w:rPr>
        <w:t>s deberán obedecer a las necesidades de ejecución del Contrato y no deben contrariar las condiciones señaladas en los Documentos Tipo]</w:t>
      </w:r>
    </w:p>
    <w:p w:rsidR="00522688" w:rsidRDefault="00522688"/>
    <w:p w:rsidR="00522688" w:rsidRDefault="004E4FBB">
      <w:pPr>
        <w:pStyle w:val="Ttulo2"/>
        <w:numPr>
          <w:ilvl w:val="1"/>
          <w:numId w:val="15"/>
        </w:numPr>
        <w:ind w:left="709" w:hanging="709"/>
      </w:pPr>
      <w:bookmarkStart w:id="82" w:name="_heading=h.pkwqa1" w:colFirst="0" w:colLast="0"/>
      <w:bookmarkEnd w:id="82"/>
      <w:r>
        <w:t>INFORMACIÓN PARA EL CONTROL DE LA EJECUCIÓN DE LA CONSULTORÍA</w:t>
      </w:r>
    </w:p>
    <w:p w:rsidR="00522688" w:rsidRDefault="00522688"/>
    <w:p w:rsidR="00522688" w:rsidRDefault="004E4FBB">
      <w:r>
        <w:t xml:space="preserve">El Consultor presentará al supervisor respectivo, dentro </w:t>
      </w:r>
      <w:r>
        <w:t xml:space="preserve">de los </w:t>
      </w:r>
      <w:r>
        <w:rPr>
          <w:highlight w:val="lightGray"/>
        </w:rPr>
        <w:t>[ _____ días hábiles siguientes al inicio de la ejecución del Contrato]</w:t>
      </w:r>
      <w:r>
        <w:t>, los documentos que se relacionan a continuación, debidamente diligenciados de conformidad con el Pliego de Condiciones:</w:t>
      </w:r>
    </w:p>
    <w:p w:rsidR="00522688" w:rsidRDefault="00522688"/>
    <w:p w:rsidR="00522688" w:rsidRDefault="004E4FBB">
      <w:pPr>
        <w:numPr>
          <w:ilvl w:val="0"/>
          <w:numId w:val="28"/>
        </w:numPr>
        <w:pBdr>
          <w:top w:val="nil"/>
          <w:left w:val="nil"/>
          <w:bottom w:val="nil"/>
          <w:right w:val="nil"/>
          <w:between w:val="nil"/>
        </w:pBdr>
        <w:rPr>
          <w:color w:val="000000"/>
        </w:rPr>
      </w:pPr>
      <w:r>
        <w:rPr>
          <w:color w:val="000000"/>
        </w:rPr>
        <w:t>Soportes académicos y de experiencia de todos los integ</w:t>
      </w:r>
      <w:r>
        <w:rPr>
          <w:color w:val="000000"/>
        </w:rPr>
        <w:t xml:space="preserve">rantes del equipo de trabajo, incluidos los del Personal Clave Evaluable </w:t>
      </w:r>
      <w:r>
        <w:rPr>
          <w:color w:val="000000"/>
          <w:highlight w:val="lightGray"/>
        </w:rPr>
        <w:t>[La Entidad escogerá si la verificación de estos soportes académicos y de experiencia es un requisito para iniciar la ejecución del Contrato o para otro momento que la Entidad dispong</w:t>
      </w:r>
      <w:r>
        <w:rPr>
          <w:color w:val="000000"/>
          <w:highlight w:val="lightGray"/>
        </w:rPr>
        <w:t>a con posterioridad a la celebración del Contrato, lo cual deberá mencionar claramente].</w:t>
      </w:r>
    </w:p>
    <w:p w:rsidR="00522688" w:rsidRDefault="004E4FBB">
      <w:pPr>
        <w:numPr>
          <w:ilvl w:val="0"/>
          <w:numId w:val="28"/>
        </w:numPr>
        <w:pBdr>
          <w:top w:val="nil"/>
          <w:left w:val="nil"/>
          <w:bottom w:val="nil"/>
          <w:right w:val="nil"/>
          <w:between w:val="nil"/>
        </w:pBdr>
        <w:rPr>
          <w:color w:val="000000"/>
        </w:rPr>
      </w:pPr>
      <w:r>
        <w:rPr>
          <w:color w:val="000000"/>
        </w:rPr>
        <w:t>Cronograma de trabajo.</w:t>
      </w:r>
    </w:p>
    <w:p w:rsidR="00522688" w:rsidRDefault="004E4FBB">
      <w:pPr>
        <w:numPr>
          <w:ilvl w:val="0"/>
          <w:numId w:val="28"/>
        </w:numPr>
        <w:pBdr>
          <w:top w:val="nil"/>
          <w:left w:val="nil"/>
          <w:bottom w:val="nil"/>
          <w:right w:val="nil"/>
          <w:between w:val="nil"/>
        </w:pBdr>
        <w:rPr>
          <w:color w:val="000000"/>
        </w:rPr>
      </w:pPr>
      <w:r>
        <w:rPr>
          <w:color w:val="000000"/>
        </w:rPr>
        <w:t>Ficha técnica del papel a utilizar en relación con el factor de sostenibilidad previsto en el numeral 4.3.</w:t>
      </w:r>
    </w:p>
    <w:p w:rsidR="00522688" w:rsidRDefault="004E4FBB">
      <w:pPr>
        <w:numPr>
          <w:ilvl w:val="0"/>
          <w:numId w:val="28"/>
        </w:numPr>
        <w:pBdr>
          <w:top w:val="nil"/>
          <w:left w:val="nil"/>
          <w:bottom w:val="nil"/>
          <w:right w:val="nil"/>
          <w:between w:val="nil"/>
        </w:pBdr>
        <w:rPr>
          <w:color w:val="000000"/>
        </w:rPr>
      </w:pPr>
      <w:r>
        <w:rPr>
          <w:color w:val="000000"/>
        </w:rPr>
        <w:t>Los demás que puedan exigirse en el P</w:t>
      </w:r>
      <w:r>
        <w:rPr>
          <w:color w:val="000000"/>
        </w:rPr>
        <w:t>liego de Condiciones.</w:t>
      </w:r>
    </w:p>
    <w:p w:rsidR="00522688" w:rsidRDefault="00522688"/>
    <w:p w:rsidR="00522688" w:rsidRDefault="004E4FBB">
      <w:r>
        <w:t xml:space="preserve">El supervisor revisará los documentos presentados por el Consultor en un término no mayor a </w:t>
      </w:r>
      <w:r>
        <w:rPr>
          <w:highlight w:val="lightGray"/>
        </w:rPr>
        <w:t>[incluir]</w:t>
      </w:r>
      <w:r>
        <w:t xml:space="preserve"> días calendario. En caso de existir algún requerimiento por escrito por parte del supervisor, el Consultor debe atenderlo en un término no mayor a </w:t>
      </w:r>
      <w:r>
        <w:rPr>
          <w:highlight w:val="lightGray"/>
        </w:rPr>
        <w:t>[incluir]</w:t>
      </w:r>
      <w:r>
        <w:t xml:space="preserve"> días hábiles, so pena de incurrir en causal de incumplimiento del Contrato. </w:t>
      </w:r>
    </w:p>
    <w:p w:rsidR="00522688" w:rsidRDefault="00522688"/>
    <w:p w:rsidR="00522688" w:rsidRDefault="004E4FBB">
      <w:r>
        <w:t>Una vez se cumpla co</w:t>
      </w:r>
      <w:r>
        <w:t>n lo exigido en el Pliego de Condiciones, el supervisor emitirá su concepto favorable mediante comunicación dirigida al Consultor, con copia a la Entidad.</w:t>
      </w:r>
    </w:p>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4E4FBB">
      <w:pPr>
        <w:pStyle w:val="Ttulo1"/>
        <w:numPr>
          <w:ilvl w:val="0"/>
          <w:numId w:val="14"/>
        </w:numPr>
        <w:ind w:left="1531" w:firstLine="0"/>
      </w:pPr>
      <w:bookmarkStart w:id="83" w:name="_heading=h.39kk8xu" w:colFirst="0" w:colLast="0"/>
      <w:bookmarkEnd w:id="83"/>
      <w:r>
        <w:lastRenderedPageBreak/>
        <w:t>CONDICIONES DE ACREDITACIÓN DE LA EXPERIENCIA DEL PROPONENTE, Y LA EXPERIENCIA Y FORMACIÓ</w:t>
      </w:r>
      <w:r>
        <w:t>N ACADÉMICA DEL EQUIPO DE TRABAJO Y EL PERSONAL CLAVE EVALUABLE</w:t>
      </w:r>
    </w:p>
    <w:p w:rsidR="00522688" w:rsidRDefault="00522688">
      <w:pPr>
        <w:numPr>
          <w:ilvl w:val="0"/>
          <w:numId w:val="15"/>
        </w:numPr>
        <w:pBdr>
          <w:top w:val="nil"/>
          <w:left w:val="nil"/>
          <w:bottom w:val="nil"/>
          <w:right w:val="nil"/>
          <w:between w:val="nil"/>
        </w:pBdr>
        <w:rPr>
          <w:color w:val="000000"/>
        </w:rPr>
      </w:pPr>
    </w:p>
    <w:p w:rsidR="00522688" w:rsidRDefault="004E4FBB">
      <w:pPr>
        <w:pStyle w:val="Ttulo2"/>
        <w:numPr>
          <w:ilvl w:val="1"/>
          <w:numId w:val="15"/>
        </w:numPr>
        <w:ind w:left="709" w:hanging="709"/>
      </w:pPr>
      <w:bookmarkStart w:id="84" w:name="_heading=h.1opuj5n" w:colFirst="0" w:colLast="0"/>
      <w:bookmarkEnd w:id="84"/>
      <w:r>
        <w:t>ACREDITACIÓN DE LA EXPERIENCIA DEL PROPONENTE</w:t>
      </w:r>
    </w:p>
    <w:p w:rsidR="00522688" w:rsidRDefault="00522688"/>
    <w:p w:rsidR="00522688" w:rsidRDefault="004E4FBB">
      <w:r>
        <w:t>Para que a los Proponentes se les otorgue puntaje por su experiencia aportarán: (i) el RUP, para aquellos que estén obligados a tenerlo; (ii) el</w:t>
      </w:r>
      <w:r>
        <w:t xml:space="preserve"> “Formato 3 – Experiencia” y (iii) alguno de los documentos válidos señalados en el numeral 10.1.5 que acredite su experiencia relacionada en el RUP. </w:t>
      </w:r>
    </w:p>
    <w:p w:rsidR="00522688" w:rsidRDefault="004E4FBB">
      <w:r>
        <w:t xml:space="preserve"> </w:t>
      </w:r>
    </w:p>
    <w:p w:rsidR="00522688" w:rsidRDefault="004E4FBB">
      <w:r>
        <w:t xml:space="preserve">Para los Proponentes que estén obligados a estar inscritos en el RUP solo serán tenidos en cuenta para la acreditación de la experiencia los contratos inscritos en dicho registro. </w:t>
      </w:r>
    </w:p>
    <w:p w:rsidR="00522688" w:rsidRDefault="004E4FBB">
      <w:r>
        <w:t xml:space="preserve"> </w:t>
      </w:r>
    </w:p>
    <w:p w:rsidR="00522688" w:rsidRDefault="004E4FBB">
      <w:r>
        <w:t>En caso tal que no sea posible validar la información a través del RUP, e</w:t>
      </w:r>
      <w:r>
        <w:t>l “Formato 3 – Experiencia” o los documentos soporte, la Entidad no tendrá en cuenta dicho contrato para la evaluación realizada y la asignación de puntaje. Esta condición es aplicable en los casos en los cuales sea diligenciado indebidamente el “Formato 3</w:t>
      </w:r>
      <w:r>
        <w:t xml:space="preserve"> – Experiencia” y que no puedan ser verificados con el RUP, situación en la cual no será considerado dicho contrato durante la evaluación y asignación de puntaje.  </w:t>
      </w:r>
    </w:p>
    <w:p w:rsidR="00522688" w:rsidRDefault="004E4FBB">
      <w:r>
        <w:t xml:space="preserve"> </w:t>
      </w:r>
    </w:p>
    <w:p w:rsidR="00522688" w:rsidRDefault="004E4FBB">
      <w:r>
        <w:t>Los Proponentes podrán acreditar la experiencia proveniente de contratos celebrados con p</w:t>
      </w:r>
      <w:r>
        <w:t>articulares o con Entidades Estatales. En ambos casos, los Proponentes obligados a estar registrados en el RUP deberán aportar solo los contratos que estén inscritos en dicho registro. Igualmente, todos los contratos aportados tendrán que cumplir con las e</w:t>
      </w:r>
      <w:r>
        <w:t xml:space="preserve">xigencias de los numerales 10.1.1 a 10.1.5 de este Pliego de Condiciones. </w:t>
      </w:r>
    </w:p>
    <w:p w:rsidR="00522688" w:rsidRDefault="004E4FBB">
      <w:r>
        <w:t xml:space="preserve"> </w:t>
      </w:r>
    </w:p>
    <w:p w:rsidR="00522688" w:rsidRDefault="004E4FBB">
      <w:r>
        <w:t xml:space="preserve">La evaluación de los Proponentes se efectuará de acuerdo con la experiencia contenida en el Registro Único de Proponentes (RUP) vigente y en firme antes del cierre del Proceso de </w:t>
      </w:r>
      <w:r>
        <w:t xml:space="preserve">Contratación. </w:t>
      </w:r>
    </w:p>
    <w:p w:rsidR="00522688" w:rsidRDefault="004E4FBB">
      <w:r>
        <w:t xml:space="preserve"> </w:t>
      </w:r>
    </w:p>
    <w:p w:rsidR="00522688" w:rsidRDefault="004E4FBB">
      <w:r>
        <w:rPr>
          <w:highlight w:val="lightGray"/>
        </w:rPr>
        <w:t xml:space="preserve">[Por regla general, el Proponente solo puede acreditar la experiencia que ha obtenido y no la de su matriz, subsidiarias o integrantes del mismo grupo empresarial. Cuando de acuerdo con el estudio de sector sea necesario que el Proponente </w:t>
      </w:r>
      <w:r>
        <w:rPr>
          <w:highlight w:val="lightGray"/>
        </w:rPr>
        <w:t>acredite la experiencia de su matriz como en los casos de contratos de franquicia, la Entidad debe justificar dicha circunstancia en los estudios y documentos previos e indicar en el Pliego de Condiciones la forma de demostrar la experiencia que no aparece</w:t>
      </w:r>
      <w:r>
        <w:rPr>
          <w:highlight w:val="lightGray"/>
        </w:rPr>
        <w:t xml:space="preserve"> en el RUP]. </w:t>
      </w:r>
      <w:r>
        <w:t xml:space="preserve"> </w:t>
      </w:r>
    </w:p>
    <w:p w:rsidR="00522688" w:rsidRDefault="004E4FBB">
      <w:pPr>
        <w:jc w:val="left"/>
      </w:pPr>
      <w:r>
        <w:t xml:space="preserve"> </w:t>
      </w:r>
    </w:p>
    <w:p w:rsidR="00522688" w:rsidRDefault="004E4FBB">
      <w:pPr>
        <w:spacing w:line="268" w:lineRule="auto"/>
        <w:ind w:right="260"/>
      </w:pPr>
      <w:r>
        <w:rPr>
          <w:highlight w:val="yellow"/>
        </w:rPr>
        <w:t>El proponente solo puede acreditar la experiencia que ha obtenido y no la experiencia de su matriz, subsidiarias o integrantes del mismo grupo empresarial.</w:t>
      </w:r>
    </w:p>
    <w:p w:rsidR="00522688" w:rsidRDefault="00522688"/>
    <w:p w:rsidR="00522688" w:rsidRDefault="004E4FBB">
      <w:r>
        <w:t>Los contratos que el Proponente pretenda acreditar como experiencia deberán cumpli</w:t>
      </w:r>
      <w:r>
        <w:t xml:space="preserve">r con las condiciones detalladas en los siguientes numerales. </w:t>
      </w:r>
    </w:p>
    <w:p w:rsidR="00522688" w:rsidRDefault="00522688"/>
    <w:p w:rsidR="00522688" w:rsidRDefault="004E4FBB">
      <w:pPr>
        <w:pStyle w:val="Ttulo3"/>
        <w:numPr>
          <w:ilvl w:val="2"/>
          <w:numId w:val="29"/>
        </w:numPr>
      </w:pPr>
      <w:bookmarkStart w:id="85" w:name="_heading=h.48pi1tg" w:colFirst="0" w:colLast="0"/>
      <w:bookmarkEnd w:id="85"/>
      <w:r>
        <w:t>CARACTERÍSTICAS DE LOS CONTRATOS PRESENTADOS PARA ACREDITAR LA EXPERIENCIA DEL PROPONENTE</w:t>
      </w:r>
    </w:p>
    <w:p w:rsidR="00522688" w:rsidRDefault="00522688"/>
    <w:p w:rsidR="00522688" w:rsidRDefault="004E4FBB">
      <w:r>
        <w:t xml:space="preserve">Los contratos para acreditar la experiencia deben cumplir las siguientes características: </w:t>
      </w:r>
    </w:p>
    <w:p w:rsidR="00522688" w:rsidRDefault="00522688"/>
    <w:p w:rsidR="00522688" w:rsidRDefault="004E4FBB">
      <w:pPr>
        <w:numPr>
          <w:ilvl w:val="0"/>
          <w:numId w:val="21"/>
        </w:numPr>
        <w:pBdr>
          <w:top w:val="nil"/>
          <w:left w:val="nil"/>
          <w:bottom w:val="nil"/>
          <w:right w:val="nil"/>
          <w:between w:val="nil"/>
        </w:pBdr>
        <w:ind w:left="567" w:hanging="567"/>
        <w:rPr>
          <w:color w:val="000000"/>
        </w:rPr>
      </w:pPr>
      <w:r>
        <w:rPr>
          <w:color w:val="000000"/>
        </w:rPr>
        <w:t xml:space="preserve">Que hayan contenido la ejecución de: </w:t>
      </w:r>
      <w:r>
        <w:rPr>
          <w:color w:val="000000"/>
          <w:highlight w:val="lightGray"/>
        </w:rPr>
        <w:t>[En este espacio la Entidad debe incluir, la actividad o actividades válidas para acreditar la experiencia general y/o específica]</w:t>
      </w:r>
      <w:r>
        <w:rPr>
          <w:color w:val="000000"/>
        </w:rPr>
        <w:t>.</w:t>
      </w:r>
    </w:p>
    <w:p w:rsidR="00522688" w:rsidRDefault="00522688"/>
    <w:p w:rsidR="00522688" w:rsidRDefault="004E4FBB">
      <w:pPr>
        <w:numPr>
          <w:ilvl w:val="0"/>
          <w:numId w:val="21"/>
        </w:numPr>
        <w:pBdr>
          <w:top w:val="nil"/>
          <w:left w:val="nil"/>
          <w:bottom w:val="nil"/>
          <w:right w:val="nil"/>
          <w:between w:val="nil"/>
        </w:pBdr>
        <w:ind w:left="567" w:hanging="567"/>
        <w:rPr>
          <w:color w:val="000000"/>
        </w:rPr>
      </w:pPr>
      <w:r>
        <w:rPr>
          <w:color w:val="000000"/>
        </w:rPr>
        <w:lastRenderedPageBreak/>
        <w:t xml:space="preserve">La experiencia aportada debe ser acorde con el objeto del Proceso de Contratación y con lo dispuesto por la “Matriz 1 – Experiencia”. </w:t>
      </w:r>
    </w:p>
    <w:p w:rsidR="00522688" w:rsidRDefault="00522688">
      <w:pPr>
        <w:pBdr>
          <w:top w:val="nil"/>
          <w:left w:val="nil"/>
          <w:bottom w:val="nil"/>
          <w:right w:val="nil"/>
          <w:between w:val="nil"/>
        </w:pBdr>
        <w:ind w:left="720"/>
        <w:rPr>
          <w:color w:val="000000"/>
        </w:rPr>
      </w:pPr>
    </w:p>
    <w:p w:rsidR="00522688" w:rsidRDefault="004E4FBB">
      <w:pPr>
        <w:pBdr>
          <w:top w:val="nil"/>
          <w:left w:val="nil"/>
          <w:bottom w:val="nil"/>
          <w:right w:val="nil"/>
          <w:between w:val="nil"/>
        </w:pBdr>
        <w:ind w:left="720"/>
        <w:rPr>
          <w:color w:val="000000"/>
        </w:rPr>
      </w:pPr>
      <w:r>
        <w:rPr>
          <w:color w:val="000000"/>
          <w:highlight w:val="lightGray"/>
        </w:rPr>
        <w:t xml:space="preserve">(Incluir o ajustar el siguiente párrafo en caso de aplicar los criterios diferenciales para Mipymes y/o Emprendimientos </w:t>
      </w:r>
      <w:r>
        <w:rPr>
          <w:color w:val="000000"/>
          <w:highlight w:val="lightGray"/>
        </w:rPr>
        <w:t>y Empresas de Mujeres, de acuerdo con el resultado del análisis del sector del proceso, lo sombreado en amarillo corresponde a los criterios tenidos en cuenta para los documentos tipo CCE y pueden ser utilizados de manera transversal en el proceso de selec</w:t>
      </w:r>
      <w:r>
        <w:rPr>
          <w:color w:val="000000"/>
          <w:highlight w:val="lightGray"/>
        </w:rPr>
        <w:t>ción, sin embargo, su inclusión deberá corresponder al análisis realizado para cada proceso)</w:t>
      </w:r>
      <w:r>
        <w:rPr>
          <w:color w:val="000000"/>
        </w:rPr>
        <w:t xml:space="preserve"> </w:t>
      </w:r>
    </w:p>
    <w:p w:rsidR="00522688" w:rsidRDefault="00522688"/>
    <w:p w:rsidR="00522688" w:rsidRDefault="004E4FBB">
      <w:pPr>
        <w:numPr>
          <w:ilvl w:val="0"/>
          <w:numId w:val="21"/>
        </w:numPr>
        <w:pBdr>
          <w:top w:val="nil"/>
          <w:left w:val="nil"/>
          <w:bottom w:val="nil"/>
          <w:right w:val="nil"/>
          <w:between w:val="nil"/>
        </w:pBdr>
        <w:ind w:left="567" w:hanging="567"/>
        <w:rPr>
          <w:color w:val="000000"/>
        </w:rPr>
      </w:pPr>
      <w:r>
        <w:rPr>
          <w:color w:val="000000"/>
        </w:rPr>
        <w:t xml:space="preserve">El Proponente podrá aportar mínimo </w:t>
      </w:r>
      <w:r>
        <w:rPr>
          <w:color w:val="000000"/>
          <w:highlight w:val="yellow"/>
        </w:rPr>
        <w:t>uno (1)</w:t>
      </w:r>
      <w:r>
        <w:rPr>
          <w:color w:val="000000"/>
        </w:rPr>
        <w:t xml:space="preserve"> y máximo </w:t>
      </w:r>
      <w:r>
        <w:rPr>
          <w:color w:val="000000"/>
          <w:highlight w:val="yellow"/>
        </w:rPr>
        <w:t xml:space="preserve">cinco (5) </w:t>
      </w:r>
      <w:r>
        <w:rPr>
          <w:color w:val="000000"/>
        </w:rPr>
        <w:t xml:space="preserve">contratos para la evaluación y asignación de puntaje por concepto de experiencia. </w:t>
      </w:r>
      <w:r>
        <w:rPr>
          <w:color w:val="000000"/>
          <w:highlight w:val="lightGray"/>
        </w:rPr>
        <w:t xml:space="preserve">[En los procesos </w:t>
      </w:r>
      <w:r>
        <w:rPr>
          <w:color w:val="000000"/>
          <w:highlight w:val="lightGray"/>
        </w:rPr>
        <w:t>estructurados por lotes o por grupos, el Proponente podrá aportar mínimo uno (1) y máximo cinco (5) contratos para cada uno de los lotes o grupos o podrá allegar los mismos para todos los lotes o grupos]</w:t>
      </w:r>
      <w:r>
        <w:rPr>
          <w:color w:val="000000"/>
        </w:rPr>
        <w:t xml:space="preserve">. </w:t>
      </w:r>
    </w:p>
    <w:p w:rsidR="00522688" w:rsidRDefault="00522688"/>
    <w:p w:rsidR="00522688" w:rsidRDefault="004E4FBB">
      <w:pPr>
        <w:pBdr>
          <w:top w:val="nil"/>
          <w:left w:val="nil"/>
          <w:bottom w:val="nil"/>
          <w:right w:val="nil"/>
          <w:between w:val="nil"/>
        </w:pBdr>
        <w:ind w:left="567"/>
        <w:rPr>
          <w:color w:val="000000"/>
        </w:rPr>
      </w:pPr>
      <w:r>
        <w:rPr>
          <w:color w:val="000000"/>
        </w:rPr>
        <w:t>El Proponente persona natural o jurídica que acre</w:t>
      </w:r>
      <w:r>
        <w:rPr>
          <w:color w:val="000000"/>
        </w:rPr>
        <w:t>dite la calidad de Mipyme o de emprendimiento y empresa de mujer con domicilio en el territorio nacional de conformidad con lo previsto en el artículo 2.2.1.13.2.2 del Decreto 1074 de 2015 y los artículos 2.2.1.2.4.2.4. y 2.2.1.2.4.2.14 del Decreto 1082 de</w:t>
      </w:r>
      <w:r>
        <w:rPr>
          <w:color w:val="000000"/>
        </w:rPr>
        <w:t xml:space="preserve"> 2015, o las normas que los modifiquen, sustituyan o complementen, podrá probar la experiencia solicitada con </w:t>
      </w:r>
      <w:r>
        <w:rPr>
          <w:color w:val="000000"/>
          <w:highlight w:val="yellow"/>
        </w:rPr>
        <w:t>un (1)</w:t>
      </w:r>
      <w:r>
        <w:rPr>
          <w:color w:val="000000"/>
        </w:rPr>
        <w:t xml:space="preserve"> contrato adicional a los </w:t>
      </w:r>
      <w:r>
        <w:rPr>
          <w:color w:val="000000"/>
          <w:highlight w:val="yellow"/>
        </w:rPr>
        <w:t>cinco</w:t>
      </w:r>
      <w:r>
        <w:rPr>
          <w:color w:val="000000"/>
        </w:rPr>
        <w:t xml:space="preserve"> </w:t>
      </w:r>
      <w:r>
        <w:rPr>
          <w:color w:val="000000"/>
          <w:highlight w:val="yellow"/>
        </w:rPr>
        <w:t>(5)</w:t>
      </w:r>
      <w:r>
        <w:rPr>
          <w:color w:val="000000"/>
        </w:rPr>
        <w:t xml:space="preserve"> inicialmente previstos, para un máximo de </w:t>
      </w:r>
      <w:r>
        <w:rPr>
          <w:color w:val="000000"/>
          <w:highlight w:val="yellow"/>
        </w:rPr>
        <w:t>seis (6)</w:t>
      </w:r>
      <w:r>
        <w:rPr>
          <w:color w:val="000000"/>
        </w:rPr>
        <w:t xml:space="preserve"> contratos. </w:t>
      </w:r>
    </w:p>
    <w:p w:rsidR="00522688" w:rsidRDefault="00522688"/>
    <w:p w:rsidR="00522688" w:rsidRDefault="004E4FBB">
      <w:pPr>
        <w:pBdr>
          <w:top w:val="nil"/>
          <w:left w:val="nil"/>
          <w:bottom w:val="nil"/>
          <w:right w:val="nil"/>
          <w:between w:val="nil"/>
        </w:pBdr>
        <w:ind w:left="567"/>
        <w:rPr>
          <w:color w:val="000000"/>
        </w:rPr>
      </w:pPr>
      <w:r>
        <w:rPr>
          <w:color w:val="000000"/>
        </w:rPr>
        <w:t>En caso de que el Proponente persona nat</w:t>
      </w:r>
      <w:r>
        <w:rPr>
          <w:color w:val="000000"/>
        </w:rPr>
        <w:t>ural o jurídica acredite la calidad de Mipyme y de emprendimiento y empresa de mujer con domicilio en el territorio nacional de manera conjunta, podrá demostrar la experiencia solicitada con</w:t>
      </w:r>
      <w:r>
        <w:rPr>
          <w:color w:val="000000"/>
          <w:highlight w:val="yellow"/>
        </w:rPr>
        <w:t xml:space="preserve"> dos</w:t>
      </w:r>
      <w:r>
        <w:rPr>
          <w:color w:val="000000"/>
        </w:rPr>
        <w:t xml:space="preserve"> </w:t>
      </w:r>
      <w:r>
        <w:rPr>
          <w:color w:val="000000"/>
          <w:highlight w:val="yellow"/>
        </w:rPr>
        <w:t>(2)</w:t>
      </w:r>
      <w:r>
        <w:rPr>
          <w:color w:val="000000"/>
        </w:rPr>
        <w:t xml:space="preserve"> contratos adicionales a los </w:t>
      </w:r>
      <w:r>
        <w:rPr>
          <w:color w:val="000000"/>
          <w:highlight w:val="yellow"/>
        </w:rPr>
        <w:t xml:space="preserve">cinco </w:t>
      </w:r>
      <w:r>
        <w:rPr>
          <w:color w:val="000000"/>
        </w:rPr>
        <w:t>(5) inicialmente previs</w:t>
      </w:r>
      <w:r>
        <w:rPr>
          <w:color w:val="000000"/>
        </w:rPr>
        <w:t xml:space="preserve">tos, para un máximo de </w:t>
      </w:r>
      <w:r>
        <w:rPr>
          <w:color w:val="000000"/>
          <w:highlight w:val="yellow"/>
        </w:rPr>
        <w:t>siete (7).</w:t>
      </w:r>
    </w:p>
    <w:p w:rsidR="00522688" w:rsidRDefault="00522688"/>
    <w:p w:rsidR="00522688" w:rsidRDefault="004E4FBB">
      <w:pPr>
        <w:pBdr>
          <w:top w:val="nil"/>
          <w:left w:val="nil"/>
          <w:bottom w:val="nil"/>
          <w:right w:val="nil"/>
          <w:between w:val="nil"/>
        </w:pBdr>
        <w:ind w:left="567"/>
        <w:rPr>
          <w:color w:val="000000"/>
        </w:rPr>
      </w:pPr>
      <w:r>
        <w:rPr>
          <w:color w:val="000000"/>
        </w:rPr>
        <w:t>Para el caso de Proponentes Plurales bastará con que uno de sus integrantes tenga una participación igual o superior al diez por ciento (10 %) en el Consorcio o en la Unión Temporal y acredite la calidad de Mipyme o emprendimiento y empresa de mujer de con</w:t>
      </w:r>
      <w:r>
        <w:rPr>
          <w:color w:val="000000"/>
        </w:rPr>
        <w:t>formidad con lo previsto en el artículo 2.2.1.13.2.2 del Decreto 1074 de 2015 y los artículos 2.2.1.2.4.2.4. y 2.2.1.2.4.2.14 del Decreto 1082 de 2015, o las normas que los modifiquen, sustituyan o complementen, para demostrar la experiencia solicitada con</w:t>
      </w:r>
      <w:r>
        <w:rPr>
          <w:color w:val="000000"/>
        </w:rPr>
        <w:t xml:space="preserve"> </w:t>
      </w:r>
      <w:r>
        <w:rPr>
          <w:color w:val="000000"/>
          <w:highlight w:val="yellow"/>
        </w:rPr>
        <w:t xml:space="preserve">un (1) </w:t>
      </w:r>
      <w:r>
        <w:rPr>
          <w:color w:val="000000"/>
        </w:rPr>
        <w:t xml:space="preserve">contrato adicional a </w:t>
      </w:r>
      <w:r>
        <w:rPr>
          <w:color w:val="000000"/>
          <w:highlight w:val="yellow"/>
        </w:rPr>
        <w:t>los cinco (5)</w:t>
      </w:r>
      <w:r>
        <w:rPr>
          <w:color w:val="000000"/>
        </w:rPr>
        <w:t xml:space="preserve"> inicialmente previstos, para un máximo de </w:t>
      </w:r>
      <w:r>
        <w:rPr>
          <w:color w:val="000000"/>
          <w:highlight w:val="yellow"/>
        </w:rPr>
        <w:t>seis (6)</w:t>
      </w:r>
      <w:r>
        <w:rPr>
          <w:color w:val="000000"/>
        </w:rPr>
        <w:t xml:space="preserve"> contratos. </w:t>
      </w:r>
    </w:p>
    <w:p w:rsidR="00522688" w:rsidRDefault="00522688"/>
    <w:p w:rsidR="00522688" w:rsidRDefault="004E4FBB">
      <w:pPr>
        <w:pBdr>
          <w:top w:val="nil"/>
          <w:left w:val="nil"/>
          <w:bottom w:val="nil"/>
          <w:right w:val="nil"/>
          <w:between w:val="nil"/>
        </w:pBdr>
        <w:ind w:left="567"/>
        <w:rPr>
          <w:color w:val="000000"/>
        </w:rPr>
      </w:pPr>
      <w:r>
        <w:rPr>
          <w:color w:val="000000"/>
        </w:rPr>
        <w:t xml:space="preserve">En caso de que el mismo integrante u otro que haga parte del Proponente Plural tenga una participación igual o superior al diez por ciento (10 %) en </w:t>
      </w:r>
      <w:r>
        <w:rPr>
          <w:color w:val="000000"/>
        </w:rPr>
        <w:t xml:space="preserve">el Consorcio o en la Unión Temporal y acredite la calidad de Mipyme y de emprendimiento y empresa de mujer con domicilio en el territorio nacional de manera conjunta o separada, podrá demostrar la experiencia solicitada con </w:t>
      </w:r>
      <w:r>
        <w:rPr>
          <w:color w:val="000000"/>
          <w:highlight w:val="yellow"/>
        </w:rPr>
        <w:t>dos (2)</w:t>
      </w:r>
      <w:r>
        <w:rPr>
          <w:color w:val="000000"/>
        </w:rPr>
        <w:t xml:space="preserve"> contratos adicionales a </w:t>
      </w:r>
      <w:r>
        <w:rPr>
          <w:color w:val="000000"/>
        </w:rPr>
        <w:t xml:space="preserve">los </w:t>
      </w:r>
      <w:r>
        <w:rPr>
          <w:color w:val="000000"/>
          <w:highlight w:val="yellow"/>
        </w:rPr>
        <w:t>cinco (5)</w:t>
      </w:r>
      <w:r>
        <w:rPr>
          <w:color w:val="000000"/>
        </w:rPr>
        <w:t xml:space="preserve"> inicialmente previstos, para un máximo de </w:t>
      </w:r>
      <w:r>
        <w:rPr>
          <w:color w:val="000000"/>
          <w:highlight w:val="yellow"/>
        </w:rPr>
        <w:t>siete (7)</w:t>
      </w:r>
      <w:r>
        <w:rPr>
          <w:color w:val="000000"/>
        </w:rPr>
        <w:t xml:space="preserve"> contratos. En todo caso no será posible aportar más de </w:t>
      </w:r>
      <w:r>
        <w:rPr>
          <w:color w:val="000000"/>
          <w:highlight w:val="yellow"/>
        </w:rPr>
        <w:t>dos (2)</w:t>
      </w:r>
      <w:r>
        <w:rPr>
          <w:color w:val="000000"/>
        </w:rPr>
        <w:t xml:space="preserve"> contratos adicionales aun cuando otros integrantes del Proponente Plural también cumplan las condiciones previamente definidas.</w:t>
      </w:r>
    </w:p>
    <w:p w:rsidR="00522688" w:rsidRDefault="00522688"/>
    <w:p w:rsidR="00522688" w:rsidRDefault="004E4FBB">
      <w:pPr>
        <w:pBdr>
          <w:top w:val="nil"/>
          <w:left w:val="nil"/>
          <w:bottom w:val="nil"/>
          <w:right w:val="nil"/>
          <w:between w:val="nil"/>
        </w:pBdr>
        <w:ind w:left="567"/>
        <w:rPr>
          <w:color w:val="000000"/>
        </w:rPr>
      </w:pPr>
      <w:r>
        <w:rPr>
          <w:color w:val="000000"/>
        </w:rPr>
        <w:t>Para acreditar la condición de Mipyme, el Proponente entregará copia del certificado del Registro Único de Proponentes, el cual deberá encontrarse vigente y en firme al momento de su presentación. Por su parte, la condición de emprendimientos y/o empresa</w:t>
      </w:r>
      <w:r>
        <w:rPr>
          <w:color w:val="000000"/>
        </w:rPr>
        <w:t>s de mujeres se probará mediante el diligenciamiento del Formato 13 – Acreditación de emprendimientos y empresas de mujeres, el cual deberá aportarse con la documentación requerida en el artículo 2.2.1.2.4.2.14 del Decreto 1082 de 2015, o la norma que la m</w:t>
      </w:r>
      <w:r>
        <w:rPr>
          <w:color w:val="000000"/>
        </w:rPr>
        <w:t xml:space="preserve">odifique o la sustituya. </w:t>
      </w:r>
    </w:p>
    <w:p w:rsidR="00522688" w:rsidRDefault="00522688"/>
    <w:p w:rsidR="00522688" w:rsidRDefault="00522688"/>
    <w:p w:rsidR="00522688" w:rsidRDefault="004E4FBB">
      <w:pPr>
        <w:pBdr>
          <w:top w:val="nil"/>
          <w:left w:val="nil"/>
          <w:bottom w:val="nil"/>
          <w:right w:val="nil"/>
          <w:between w:val="nil"/>
        </w:pBdr>
        <w:ind w:left="567"/>
        <w:rPr>
          <w:color w:val="000000"/>
        </w:rPr>
      </w:pPr>
      <w:r>
        <w:rPr>
          <w:color w:val="000000"/>
          <w:highlight w:val="lightGray"/>
        </w:rPr>
        <w:lastRenderedPageBreak/>
        <w:t>[En las convocatorias limitadas a Mipyme únicamente se aplicará este criterio diferencial respecto de los emprendimientos y empresas de mujeres]</w:t>
      </w:r>
    </w:p>
    <w:p w:rsidR="00522688" w:rsidRDefault="004E4FBB">
      <w:pPr>
        <w:numPr>
          <w:ilvl w:val="0"/>
          <w:numId w:val="21"/>
        </w:numPr>
        <w:pBdr>
          <w:top w:val="nil"/>
          <w:left w:val="nil"/>
          <w:bottom w:val="nil"/>
          <w:right w:val="nil"/>
          <w:between w:val="nil"/>
        </w:pBdr>
        <w:ind w:left="567" w:hanging="567"/>
        <w:rPr>
          <w:color w:val="000000"/>
        </w:rPr>
      </w:pPr>
      <w:r>
        <w:rPr>
          <w:color w:val="000000"/>
        </w:rPr>
        <w:t>Estar relacionados en el Formato 3 – Experiencia. Los Proponentes Plurales deben in</w:t>
      </w:r>
      <w:r>
        <w:rPr>
          <w:color w:val="000000"/>
        </w:rPr>
        <w:t xml:space="preserve">dicar qué integrante aporta cada uno de los contratos señalados en el Formato 3 – Experiencia. Este documento debe presentarlo el Proponente Plural y no sus integrantes. </w:t>
      </w:r>
    </w:p>
    <w:p w:rsidR="00522688" w:rsidRDefault="00522688"/>
    <w:p w:rsidR="00522688" w:rsidRDefault="004E4FBB">
      <w:pPr>
        <w:pBdr>
          <w:top w:val="nil"/>
          <w:left w:val="nil"/>
          <w:bottom w:val="nil"/>
          <w:right w:val="nil"/>
          <w:between w:val="nil"/>
        </w:pBdr>
        <w:ind w:left="567"/>
        <w:rPr>
          <w:color w:val="000000"/>
        </w:rPr>
      </w:pPr>
      <w:r>
        <w:rPr>
          <w:color w:val="000000"/>
        </w:rPr>
        <w:t>Si el Proponente no diligencia el Formato 3 – Experiencia, la Entidad requerirá su s</w:t>
      </w:r>
      <w:r>
        <w:rPr>
          <w:color w:val="000000"/>
        </w:rPr>
        <w:t xml:space="preserve">ubsanación en los términos del numeral 1.6 En caso de que el oferente no subsane se tendrán en cuenta para la evaluación los </w:t>
      </w:r>
      <w:r>
        <w:rPr>
          <w:color w:val="000000"/>
          <w:highlight w:val="yellow"/>
        </w:rPr>
        <w:t>cinco (5)</w:t>
      </w:r>
      <w:r>
        <w:rPr>
          <w:color w:val="000000"/>
        </w:rPr>
        <w:t xml:space="preserve"> contratos de mayor valor aportados. Con estos la Entidad verificará la acreditación de los requisitos de experiencia soli</w:t>
      </w:r>
      <w:r>
        <w:rPr>
          <w:color w:val="000000"/>
        </w:rPr>
        <w:t>citados. de transporte, en caso de que aplique.</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 xml:space="preserve">Tratándose de Proponentes que acrediten la calidad de Mipyme o emprendimientos y empresas de mujeres con domicilio en el territorio nacional, se tendrán en cuenta como máximo los </w:t>
      </w:r>
      <w:r>
        <w:rPr>
          <w:color w:val="000000"/>
          <w:highlight w:val="yellow"/>
        </w:rPr>
        <w:t>seis (6) contratos</w:t>
      </w:r>
      <w:r>
        <w:rPr>
          <w:color w:val="000000"/>
        </w:rPr>
        <w:t xml:space="preserve"> aportados</w:t>
      </w:r>
      <w:r>
        <w:rPr>
          <w:color w:val="000000"/>
        </w:rPr>
        <w:t xml:space="preserve"> de mayor valor. En caso de que el Proponente pruebe la calidad de Mipyme y de emprendimiento y empresa de mujer con domicilio en el territorio nacional de manera conjunta, se valdrán como máximo los </w:t>
      </w:r>
      <w:r>
        <w:rPr>
          <w:color w:val="000000"/>
          <w:highlight w:val="yellow"/>
        </w:rPr>
        <w:t>siete (7)</w:t>
      </w:r>
      <w:r>
        <w:rPr>
          <w:color w:val="000000"/>
        </w:rPr>
        <w:t xml:space="preserve"> contratos aportados de mayor valor.</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El Format</w:t>
      </w:r>
      <w:r>
        <w:rPr>
          <w:color w:val="000000"/>
        </w:rPr>
        <w:t>o 3 – Experiencia deberá aportarse diligenciado en formato Excel.</w:t>
      </w:r>
    </w:p>
    <w:p w:rsidR="00522688" w:rsidRDefault="004E4FBB">
      <w:pPr>
        <w:numPr>
          <w:ilvl w:val="0"/>
          <w:numId w:val="21"/>
        </w:numPr>
        <w:pBdr>
          <w:top w:val="nil"/>
          <w:left w:val="nil"/>
          <w:bottom w:val="nil"/>
          <w:right w:val="nil"/>
          <w:between w:val="nil"/>
        </w:pBdr>
        <w:ind w:left="567" w:hanging="567"/>
        <w:rPr>
          <w:color w:val="000000"/>
        </w:rPr>
      </w:pPr>
      <w:r>
        <w:rPr>
          <w:color w:val="000000"/>
          <w:highlight w:val="yellow"/>
        </w:rPr>
        <w:t>Los contratos acreditados deben haber terminado antes de la fecha de cierre del presente Proceso de Contratación</w:t>
      </w:r>
      <w:r>
        <w:rPr>
          <w:color w:val="000000"/>
        </w:rPr>
        <w:t xml:space="preserve">. </w:t>
      </w:r>
    </w:p>
    <w:p w:rsidR="00522688" w:rsidRDefault="004E4FBB">
      <w:pPr>
        <w:numPr>
          <w:ilvl w:val="0"/>
          <w:numId w:val="21"/>
        </w:numPr>
        <w:pBdr>
          <w:top w:val="nil"/>
          <w:left w:val="nil"/>
          <w:bottom w:val="nil"/>
          <w:right w:val="nil"/>
          <w:between w:val="nil"/>
        </w:pBdr>
        <w:ind w:left="567" w:hanging="567"/>
        <w:rPr>
          <w:color w:val="000000"/>
        </w:rPr>
      </w:pPr>
      <w:r>
        <w:rPr>
          <w:color w:val="000000"/>
        </w:rPr>
        <w:t>Para los contratos que sean aportados por personas jurídicas que no cuentan</w:t>
      </w:r>
      <w:r>
        <w:rPr>
          <w:color w:val="000000"/>
        </w:rPr>
        <w:t xml:space="preserve"> con más de tres (3) años de constituidas, que pretendan acreditar la experiencia de sus socios, accionistas o constituyentes, de conformidad con la posibilidad establecida en el numeral 2.5 del artículo 2.2.1.1.1.5.2. del Decreto 1082 de 2015, además del </w:t>
      </w:r>
      <w:r>
        <w:rPr>
          <w:color w:val="000000"/>
        </w:rPr>
        <w:t xml:space="preserve">RUP deben adjuntar un documento suscrito por el representante legal y el revisor fiscal o contador público (según corresponda) donde se indique la conformación de la persona jurídica. La Entidad tendrá en cuenta la experiencia de los accionistas, socios o </w:t>
      </w:r>
      <w:r>
        <w:rPr>
          <w:color w:val="000000"/>
        </w:rPr>
        <w:t>constituyentes de las sociedades con menos de tres (3) años de constituidas. Pasado este tiempo, la sociedad conservará esta experiencia, tal y como haya quedado registrada en el RUP.</w:t>
      </w:r>
    </w:p>
    <w:p w:rsidR="00522688" w:rsidRDefault="00522688"/>
    <w:p w:rsidR="00522688" w:rsidRDefault="004E4FBB">
      <w:pPr>
        <w:pBdr>
          <w:top w:val="nil"/>
          <w:left w:val="nil"/>
          <w:bottom w:val="nil"/>
          <w:right w:val="nil"/>
          <w:between w:val="nil"/>
        </w:pBdr>
        <w:ind w:left="567"/>
        <w:rPr>
          <w:color w:val="000000"/>
        </w:rPr>
      </w:pPr>
      <w:r>
        <w:rPr>
          <w:color w:val="000000"/>
        </w:rPr>
        <w:t>De acuerdo con el inciso anterior, en los casos en que se presente un Proponente Plural conformado por una persona jurídica, en conjunto con sus socios, accionistas o constituyentes, tratándose de los contratos que estos le hayan transferido como experienc</w:t>
      </w:r>
      <w:r>
        <w:rPr>
          <w:color w:val="000000"/>
        </w:rPr>
        <w:t>ia a aquella, solo podrán ser acreditados como experiencia en el procedimiento de selección por alguno de los integrantes, de manera que el Proponente Plural solo podrá acreditar una misma experiencia una sola vez.</w:t>
      </w:r>
    </w:p>
    <w:p w:rsidR="00522688" w:rsidRDefault="004E4FBB">
      <w:pPr>
        <w:numPr>
          <w:ilvl w:val="0"/>
          <w:numId w:val="21"/>
        </w:numPr>
        <w:pBdr>
          <w:top w:val="nil"/>
          <w:left w:val="nil"/>
          <w:bottom w:val="nil"/>
          <w:right w:val="nil"/>
          <w:between w:val="nil"/>
        </w:pBdr>
        <w:ind w:left="567" w:hanging="567"/>
        <w:rPr>
          <w:color w:val="000000"/>
        </w:rPr>
      </w:pPr>
      <w:r>
        <w:rPr>
          <w:color w:val="000000"/>
        </w:rPr>
        <w:t>La experiencia a la que se refiere este n</w:t>
      </w:r>
      <w:r>
        <w:rPr>
          <w:color w:val="000000"/>
        </w:rPr>
        <w:t>umeral podrá acreditarse mediante los documentos establecidos en el Pliego de Condiciones señalados en el numeral 10.1.5.</w:t>
      </w:r>
    </w:p>
    <w:p w:rsidR="00522688" w:rsidRDefault="004E4FBB">
      <w:pPr>
        <w:numPr>
          <w:ilvl w:val="0"/>
          <w:numId w:val="21"/>
        </w:numPr>
        <w:pBdr>
          <w:top w:val="nil"/>
          <w:left w:val="nil"/>
          <w:bottom w:val="nil"/>
          <w:right w:val="nil"/>
          <w:between w:val="nil"/>
        </w:pBdr>
        <w:ind w:left="567" w:hanging="567"/>
        <w:rPr>
          <w:color w:val="000000"/>
        </w:rPr>
      </w:pPr>
      <w:r>
        <w:rPr>
          <w:color w:val="000000"/>
        </w:rPr>
        <w:t>Los contratos deben haber terminado antes de la fecha de cierre del presente Proceso de Contratación. Esta fecha corresponde al moment</w:t>
      </w:r>
      <w:r>
        <w:rPr>
          <w:color w:val="000000"/>
        </w:rPr>
        <w:t>o de terminación de la ejecución del Contrato, por lo que no necesariamente coincide con la fecha de entrega y/o recibo final, liquidación, o acta final, salvo que de los documentos del numeral 10.1.5 se derive tal información.</w:t>
      </w:r>
    </w:p>
    <w:p w:rsidR="00522688" w:rsidRDefault="00522688"/>
    <w:p w:rsidR="00522688" w:rsidRDefault="004E4FBB">
      <w:pPr>
        <w:pStyle w:val="Ttulo3"/>
        <w:numPr>
          <w:ilvl w:val="2"/>
          <w:numId w:val="29"/>
        </w:numPr>
      </w:pPr>
      <w:bookmarkStart w:id="86" w:name="_heading=h.2nusc19" w:colFirst="0" w:colLast="0"/>
      <w:bookmarkEnd w:id="86"/>
      <w:r>
        <w:t>CONSIDERACIONES PARA LA VAL</w:t>
      </w:r>
      <w:r>
        <w:t>IDEZ DE LA EXPERIENCIA DEL PROPONENTE</w:t>
      </w:r>
    </w:p>
    <w:p w:rsidR="00522688" w:rsidRDefault="00522688"/>
    <w:p w:rsidR="00522688" w:rsidRDefault="004E4FBB">
      <w:r>
        <w:t>La Entidad tendrá en cuenta los siguientes aspectos para analizar la experiencia acreditada y que la misma sea válida para el otorgamiento de puntaje:</w:t>
      </w:r>
    </w:p>
    <w:p w:rsidR="00522688" w:rsidRDefault="00522688"/>
    <w:p w:rsidR="00522688" w:rsidRDefault="004E4FBB">
      <w:pPr>
        <w:numPr>
          <w:ilvl w:val="0"/>
          <w:numId w:val="23"/>
        </w:numPr>
        <w:pBdr>
          <w:top w:val="nil"/>
          <w:left w:val="nil"/>
          <w:bottom w:val="nil"/>
          <w:right w:val="nil"/>
          <w:between w:val="nil"/>
        </w:pBdr>
        <w:ind w:left="567" w:hanging="567"/>
        <w:rPr>
          <w:color w:val="000000"/>
        </w:rPr>
      </w:pPr>
      <w:r>
        <w:rPr>
          <w:color w:val="000000"/>
        </w:rPr>
        <w:t>En el clasificador de bienes y servicios, el segmento correspondi</w:t>
      </w:r>
      <w:r>
        <w:rPr>
          <w:color w:val="000000"/>
        </w:rPr>
        <w:t xml:space="preserve">ente para la clasificación de la experiencia es el xx y/o xx. </w:t>
      </w:r>
    </w:p>
    <w:p w:rsidR="00522688" w:rsidRDefault="004E4FBB">
      <w:pPr>
        <w:numPr>
          <w:ilvl w:val="0"/>
          <w:numId w:val="23"/>
        </w:numPr>
        <w:pBdr>
          <w:top w:val="nil"/>
          <w:left w:val="nil"/>
          <w:bottom w:val="nil"/>
          <w:right w:val="nil"/>
          <w:between w:val="nil"/>
        </w:pBdr>
        <w:ind w:left="567" w:hanging="567"/>
        <w:rPr>
          <w:color w:val="000000"/>
        </w:rPr>
      </w:pPr>
      <w:r>
        <w:rPr>
          <w:color w:val="000000"/>
        </w:rPr>
        <w:lastRenderedPageBreak/>
        <w:t>La Entidad contratante únicamente podrá exigir para la verificación de la experiencia los contratos celebrados por el interesado, identificados con el clasificador de bienes y servicios hasta el tercer nivel.</w:t>
      </w:r>
    </w:p>
    <w:p w:rsidR="00522688" w:rsidRDefault="004E4FBB">
      <w:pPr>
        <w:numPr>
          <w:ilvl w:val="0"/>
          <w:numId w:val="23"/>
        </w:numPr>
        <w:pBdr>
          <w:top w:val="nil"/>
          <w:left w:val="nil"/>
          <w:bottom w:val="nil"/>
          <w:right w:val="nil"/>
          <w:between w:val="nil"/>
        </w:pBdr>
        <w:ind w:left="567" w:hanging="567"/>
        <w:rPr>
          <w:color w:val="000000"/>
        </w:rPr>
      </w:pPr>
      <w:r>
        <w:rPr>
          <w:color w:val="000000"/>
        </w:rPr>
        <w:t>Tratándose de Proponentes Plurales se tendrá en</w:t>
      </w:r>
      <w:r>
        <w:rPr>
          <w:color w:val="000000"/>
        </w:rPr>
        <w:t xml:space="preserve"> cuenta lo siguiente: i) uno de los integrantes debe aportar como mínimo el cincuenta por ciento (50 %) de la experiencia solicitada; ii) los demás integrantes deben acreditar al menos el cinco por ciento (5 %) de la experiencia solicitada; y iii) sin perj</w:t>
      </w:r>
      <w:r>
        <w:rPr>
          <w:color w:val="000000"/>
        </w:rPr>
        <w:t xml:space="preserve">uicio de lo anterior, solo uno (1) de los integrantes, si así lo considera pertinente, podrá no acreditar experiencia. En este último caso, el porcentaje de participación del integrante que no aporta experiencia en la estructura plural no podrá superar el </w:t>
      </w:r>
      <w:r>
        <w:rPr>
          <w:color w:val="000000"/>
        </w:rPr>
        <w:t>diez por ciento (10 %).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Estos porcentajes que acreditarán los integrantes del Proponente Plural se podrán cumplir con contratos válidos que acrediten cualquier requisito de experiencia solicitada en el pliego de condiciones y se verificarán de conformidad</w:t>
      </w:r>
      <w:r>
        <w:rPr>
          <w:color w:val="000000"/>
        </w:rPr>
        <w:t xml:space="preserve"> con el porcentaje mínimo de experiencia exigido en el numeral 3.8.1, esto es, el cien por ciento (100 %) del Presupuesto Oficial.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En armonía con lo anterior, para cumplir el requisito previsto en este literal no se solicitará la acreditación de longitud</w:t>
      </w:r>
      <w:r>
        <w:rPr>
          <w:color w:val="000000"/>
        </w:rPr>
        <w:t xml:space="preserve">es, magnitudes, volúmenes o porcentajes requeridos en la experiencia específica, sino que bastará con acreditar los SMMLV.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highlight w:val="lightGray"/>
        </w:rPr>
        <w:t>[En caso de que el Proceso de Contratación se adelante por lotes o grupos este porcentaje de experiencia mínima se realizará en rel</w:t>
      </w:r>
      <w:r>
        <w:rPr>
          <w:color w:val="000000"/>
          <w:highlight w:val="lightGray"/>
        </w:rPr>
        <w:t>ación con el ciento por ciento (100 %) del valor total del Presupuesto Oficial establecido para cada lote o grupo]</w:t>
      </w:r>
    </w:p>
    <w:p w:rsidR="00522688" w:rsidRDefault="004E4FBB">
      <w:pPr>
        <w:numPr>
          <w:ilvl w:val="0"/>
          <w:numId w:val="23"/>
        </w:numPr>
        <w:pBdr>
          <w:top w:val="nil"/>
          <w:left w:val="nil"/>
          <w:bottom w:val="nil"/>
          <w:right w:val="nil"/>
          <w:between w:val="nil"/>
        </w:pBdr>
        <w:ind w:left="567" w:hanging="567"/>
        <w:rPr>
          <w:color w:val="000000"/>
        </w:rPr>
      </w:pPr>
      <w:r>
        <w:rPr>
          <w:color w:val="000000"/>
        </w:rPr>
        <w:t>Cuando el contrato que se pretende acreditar como experiencia haya sido ejecutado en Consorcio o en Unión Temporal, el porcentaje de particip</w:t>
      </w:r>
      <w:r>
        <w:rPr>
          <w:color w:val="000000"/>
        </w:rPr>
        <w:t xml:space="preserve">ación del integrante será el registrado en el RUP de este, o en alguno de los documentos válidos para acreditar experiencia en caso de que el integrante no esté obligado a tener RUP. </w:t>
      </w:r>
    </w:p>
    <w:p w:rsidR="00522688" w:rsidRDefault="004E4FBB">
      <w:pPr>
        <w:numPr>
          <w:ilvl w:val="0"/>
          <w:numId w:val="23"/>
        </w:numPr>
        <w:pBdr>
          <w:top w:val="nil"/>
          <w:left w:val="nil"/>
          <w:bottom w:val="nil"/>
          <w:right w:val="nil"/>
          <w:between w:val="nil"/>
        </w:pBdr>
        <w:ind w:left="567" w:hanging="567"/>
        <w:rPr>
          <w:color w:val="000000"/>
        </w:rPr>
      </w:pPr>
      <w:r>
        <w:rPr>
          <w:color w:val="000000"/>
        </w:rPr>
        <w:t xml:space="preserve">Cuando el contrato que se pretende acreditar como experiencia haya sido </w:t>
      </w:r>
      <w:r>
        <w:rPr>
          <w:color w:val="000000"/>
        </w:rPr>
        <w:t xml:space="preserve">ejecutado en Consorcio o en Unión Temporal, el valor a considerar será el registrado en el RUP, o documento válido, en caso de que el integrante no esté obligado a tener RUP. En estos casos la experiencia se multiplicará por el porcentaje de participación </w:t>
      </w:r>
      <w:r>
        <w:rPr>
          <w:color w:val="000000"/>
        </w:rPr>
        <w:t>que tuvo el integrante o los integrantes.</w:t>
      </w:r>
    </w:p>
    <w:p w:rsidR="00522688" w:rsidRDefault="004E4FBB">
      <w:pPr>
        <w:numPr>
          <w:ilvl w:val="0"/>
          <w:numId w:val="23"/>
        </w:numPr>
        <w:pBdr>
          <w:top w:val="nil"/>
          <w:left w:val="nil"/>
          <w:bottom w:val="nil"/>
          <w:right w:val="nil"/>
          <w:between w:val="nil"/>
        </w:pBdr>
        <w:ind w:left="567" w:hanging="567"/>
        <w:rPr>
          <w:color w:val="000000"/>
        </w:rPr>
      </w:pPr>
      <w:r>
        <w:rPr>
          <w:color w:val="000000"/>
        </w:rPr>
        <w:t>Cuando el contrato que se pretende acreditar como experiencia haya sido ejecutado en Consorcio, el “% de dimensionamiento (según la longitud o magnitud requerida en el Proceso de Contratación)” exigido en la “Matri</w:t>
      </w:r>
      <w:r>
        <w:rPr>
          <w:color w:val="000000"/>
        </w:rPr>
        <w:t xml:space="preserve">z 1 – Experiencia” se afectará por el porcentaje de participación que tuvo el integrante o los integrantes.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Por su parte, si el contrato fue ejecutado como Unión Temporal, la acreditación del “% de dimensionamiento” se afectará de acuerdo con la distribu</w:t>
      </w:r>
      <w:r>
        <w:rPr>
          <w:color w:val="000000"/>
        </w:rPr>
        <w:t>ción de actividades y lo materialmente ejecutado, para lo cual se deberá allegar el documento de conformación de Proponente Plural que discrimine las actividades a cargo de cada uno de los integrantes o que de los documentos aportados para acreditar la exp</w:t>
      </w:r>
      <w:r>
        <w:rPr>
          <w:color w:val="000000"/>
        </w:rPr>
        <w:t>eriencia se pueda determinar qué actividades ejecutó cada uno de los integrantes.  En caso de que lo anterior no se logre determinar, la evaluación se realizará de conformidad con lo señalado en el párrafo precedente, respecto a los Consorcios.</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b/>
          <w:color w:val="000000"/>
        </w:rPr>
        <w:t>Nota:</w:t>
      </w:r>
      <w:r>
        <w:rPr>
          <w:color w:val="000000"/>
        </w:rPr>
        <w:t xml:space="preserve"> El “dimensionamiento” de este literal no aplica a cualquier dimensión o magnitud requerida en el Proceso de Contratación para acreditar la experiencia según la “Matriz 1 – Experiencia".</w:t>
      </w:r>
    </w:p>
    <w:p w:rsidR="00522688" w:rsidRDefault="004E4FBB">
      <w:pPr>
        <w:numPr>
          <w:ilvl w:val="0"/>
          <w:numId w:val="23"/>
        </w:numPr>
        <w:pBdr>
          <w:top w:val="nil"/>
          <w:left w:val="nil"/>
          <w:bottom w:val="nil"/>
          <w:right w:val="nil"/>
          <w:between w:val="nil"/>
        </w:pBdr>
        <w:ind w:left="567" w:hanging="567"/>
        <w:rPr>
          <w:color w:val="000000"/>
        </w:rPr>
      </w:pPr>
      <w:r>
        <w:rPr>
          <w:color w:val="000000"/>
        </w:rPr>
        <w:t>Cuando el contrato que se aporte para la experiencia haya sido ejecut</w:t>
      </w:r>
      <w:r>
        <w:rPr>
          <w:color w:val="000000"/>
        </w:rPr>
        <w:t xml:space="preserve">ado por un Consorcio o por una Unión Temporal, y dos (2) o más de sus integrantes conformen un Proponente Plural para participar en el presente proceso, dicho contrato se entenderá aportado como un (1) solo contrato y se tendrá en cuenta para el aporte de </w:t>
      </w:r>
      <w:r>
        <w:rPr>
          <w:color w:val="000000"/>
        </w:rPr>
        <w:t xml:space="preserve">la experiencia la sumatoria de los porcentajes de los integrantes del Consorcio o de la Unión Temporal que ejecutaron el contrato y que están </w:t>
      </w:r>
      <w:r>
        <w:rPr>
          <w:color w:val="000000"/>
        </w:rPr>
        <w:lastRenderedPageBreak/>
        <w:t>participando en el presente Proceso de Contratación, siempre y cuando en el “Formato 3” se indique qué integrantes</w:t>
      </w:r>
      <w:r>
        <w:rPr>
          <w:color w:val="000000"/>
        </w:rPr>
        <w:t xml:space="preserve"> y porcentajes de participación se ofrecen como experiencia. </w:t>
      </w:r>
    </w:p>
    <w:p w:rsidR="00522688" w:rsidRDefault="004E4FBB">
      <w:pPr>
        <w:numPr>
          <w:ilvl w:val="0"/>
          <w:numId w:val="23"/>
        </w:numPr>
        <w:pBdr>
          <w:top w:val="nil"/>
          <w:left w:val="nil"/>
          <w:bottom w:val="nil"/>
          <w:right w:val="nil"/>
          <w:between w:val="nil"/>
        </w:pBdr>
        <w:ind w:left="567" w:hanging="567"/>
        <w:rPr>
          <w:color w:val="000000"/>
        </w:rPr>
      </w:pPr>
      <w:r>
        <w:rPr>
          <w:color w:val="000000"/>
        </w:rPr>
        <w:t>En el evento en que no todos los integrantes que conforman la estructura plural indiquen su participación en el contrato que se aporta como experiencia en el “Formato 3”, se tendrá en cuenta úni</w:t>
      </w:r>
      <w:r>
        <w:rPr>
          <w:color w:val="000000"/>
        </w:rPr>
        <w:t xml:space="preserve">camente la participación del o los integrantes que la indican. La Entidad hará la evaluación basada en el “Formato 3”. </w:t>
      </w:r>
    </w:p>
    <w:p w:rsidR="00522688" w:rsidRDefault="004E4FBB">
      <w:pPr>
        <w:numPr>
          <w:ilvl w:val="0"/>
          <w:numId w:val="23"/>
        </w:numPr>
        <w:pBdr>
          <w:top w:val="nil"/>
          <w:left w:val="nil"/>
          <w:bottom w:val="nil"/>
          <w:right w:val="nil"/>
          <w:between w:val="nil"/>
        </w:pBdr>
        <w:ind w:left="567" w:hanging="567"/>
        <w:rPr>
          <w:color w:val="000000"/>
        </w:rPr>
      </w:pPr>
      <w:r>
        <w:rPr>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w:t>
      </w:r>
      <w:r>
        <w:rPr>
          <w:color w:val="3B3838"/>
          <w:shd w:val="clear" w:color="auto" w:fill="BFBFBF"/>
        </w:rPr>
        <w:t xml:space="preserve">l caso alguna de las dos siguientes opciones. La definición se deberá realizar en la ficha técnica de cada proceso de selección presentada al Comité de Gestión Precontractual y luego de su aprobación deberá ser incluida en el estudio previo del respectivo </w:t>
      </w:r>
      <w:r>
        <w:rPr>
          <w:color w:val="3B3838"/>
          <w:shd w:val="clear" w:color="auto" w:fill="BFBFBF"/>
        </w:rPr>
        <w:t>proceso.]</w:t>
      </w:r>
    </w:p>
    <w:p w:rsidR="00522688" w:rsidRDefault="00522688">
      <w:pPr>
        <w:pBdr>
          <w:top w:val="nil"/>
          <w:left w:val="nil"/>
          <w:bottom w:val="nil"/>
          <w:right w:val="nil"/>
          <w:between w:val="nil"/>
        </w:pBdr>
        <w:ind w:left="720"/>
        <w:rPr>
          <w:color w:val="3B3838"/>
        </w:rPr>
      </w:pPr>
    </w:p>
    <w:p w:rsidR="00522688" w:rsidRDefault="004E4FBB">
      <w:pPr>
        <w:pBdr>
          <w:top w:val="nil"/>
          <w:left w:val="nil"/>
          <w:bottom w:val="nil"/>
          <w:right w:val="nil"/>
          <w:between w:val="nil"/>
        </w:pBdr>
        <w:ind w:left="720"/>
        <w:rPr>
          <w:color w:val="3B3838"/>
          <w:highlight w:val="lightGray"/>
        </w:rPr>
      </w:pPr>
      <w:r>
        <w:rPr>
          <w:color w:val="3B3838"/>
          <w:highlight w:val="lightGray"/>
        </w:rPr>
        <w:t xml:space="preserve">X. Para la acreditación de experiencia de conformidad con la MATRIZ 1 – EXPERIENCIA que hace parte del presente Pliego de Condiciones, mediante contratos cuyo objeto o alcance contemplen actividades diferentes a las solicitadas como experiencia </w:t>
      </w:r>
      <w:r>
        <w:rPr>
          <w:color w:val="3B3838"/>
          <w:highlight w:val="lightGray"/>
        </w:rPr>
        <w:t>para este proceso, deberá relacionarse en el FORMATO No. 3 – experiencia, el monto del contrato con respecto al valor de las actividades solicitadas como experiencia y en los documentos soporte deberá encontrarse claramente identificada la cuantía de las a</w:t>
      </w:r>
      <w:r>
        <w:rPr>
          <w:color w:val="3B3838"/>
          <w:highlight w:val="lightGray"/>
        </w:rPr>
        <w:t>ctividades consideradas como experiencia, de no encontrarse claramente relacionados y especificados los montos de los contratos requeridos, la entidad tomara en cuenta el XX% de la experiencia especifica aprobada, certificada y presentada en RUP.</w:t>
      </w:r>
    </w:p>
    <w:p w:rsidR="00522688" w:rsidRDefault="00522688">
      <w:pPr>
        <w:pBdr>
          <w:top w:val="nil"/>
          <w:left w:val="nil"/>
          <w:bottom w:val="nil"/>
          <w:right w:val="nil"/>
          <w:between w:val="nil"/>
        </w:pBdr>
        <w:ind w:left="720"/>
        <w:rPr>
          <w:color w:val="3B3838"/>
          <w:highlight w:val="lightGray"/>
        </w:rPr>
      </w:pPr>
    </w:p>
    <w:p w:rsidR="00522688" w:rsidRDefault="004E4FBB">
      <w:pPr>
        <w:pBdr>
          <w:top w:val="nil"/>
          <w:left w:val="nil"/>
          <w:bottom w:val="nil"/>
          <w:right w:val="nil"/>
          <w:between w:val="nil"/>
        </w:pBdr>
        <w:ind w:left="720"/>
        <w:rPr>
          <w:color w:val="3B3838"/>
        </w:rPr>
      </w:pPr>
      <w:r>
        <w:rPr>
          <w:color w:val="3B3838"/>
          <w:highlight w:val="lightGray"/>
        </w:rPr>
        <w:t xml:space="preserve">X. Para </w:t>
      </w:r>
      <w:r>
        <w:rPr>
          <w:color w:val="3B3838"/>
          <w:highlight w:val="lightGray"/>
        </w:rPr>
        <w:t xml:space="preserve">la acreditación de experiencia de conformidad con la MATRIZ 1 – EXPERIENCIA que hace parte del presente Pliego de Condiciones, mediante contratos cuyo objeto o alcance contemplen actividades diferentes a las solicitadas como experiencia para este proceso, </w:t>
      </w:r>
      <w:r>
        <w:rPr>
          <w:color w:val="3B3838"/>
          <w:highlight w:val="lightGray"/>
        </w:rPr>
        <w:t>deberá relacionarse en el FORMATO No. 3 – experiencia, el monto del contrato con respecto al valor de las actividades solicitadas como experiencia y en los documentos soporte deberá encontrarse claramente identificada la cuantía de las actividades consider</w:t>
      </w:r>
      <w:r>
        <w:rPr>
          <w:color w:val="3B3838"/>
          <w:highlight w:val="lightGray"/>
        </w:rPr>
        <w:t>adas como experiencia, de no encontrarse claramente relacionados y especificados los montos de los contratos requeridos, la entidad NO podrá validar el contrato aportado.</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highlight w:val="lightGray"/>
        </w:rPr>
        <w:t xml:space="preserve">(incluir el siguiente párrafo con su nota en caso de ser aplicable, de lo contrario </w:t>
      </w:r>
      <w:r>
        <w:rPr>
          <w:color w:val="000000"/>
          <w:highlight w:val="lightGray"/>
        </w:rPr>
        <w:t>eliminarlos)</w:t>
      </w:r>
    </w:p>
    <w:p w:rsidR="00522688" w:rsidRDefault="004E4FBB">
      <w:pPr>
        <w:numPr>
          <w:ilvl w:val="0"/>
          <w:numId w:val="23"/>
        </w:numPr>
        <w:pBdr>
          <w:top w:val="nil"/>
          <w:left w:val="nil"/>
          <w:bottom w:val="nil"/>
          <w:right w:val="nil"/>
          <w:between w:val="nil"/>
        </w:pBdr>
        <w:ind w:left="567" w:hanging="567"/>
        <w:rPr>
          <w:color w:val="000000"/>
        </w:rPr>
      </w:pPr>
      <w:r>
        <w:rPr>
          <w:color w:val="000000"/>
        </w:rPr>
        <w:t>Será válida la experiencia acreditada como interventor a contratos de consultoría siempre y cuando corresponda a las actividades detalladas en la “Matriz 1 – Experiencia”, y que no supere esta experiencia en más de dos (2) contratos válidos ap</w:t>
      </w:r>
      <w:r>
        <w:rPr>
          <w:color w:val="000000"/>
        </w:rPr>
        <w:t xml:space="preserve">ortados.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b/>
          <w:color w:val="000000"/>
        </w:rPr>
        <w:t>Nota:</w:t>
      </w:r>
      <w:r>
        <w:rPr>
          <w:color w:val="000000"/>
        </w:rPr>
        <w:t xml:space="preserve"> En todo caso el Proponente no podrá aportar únicamente contratos de interventoría a contratos de consultoría, sino que serán un aspecto complementario en conjunto con los contratos válidos de consultoría según las actividades en la “Matriz</w:t>
      </w:r>
      <w:r>
        <w:rPr>
          <w:color w:val="000000"/>
        </w:rPr>
        <w:t xml:space="preserve"> 1 – Experiencia”. En este sentido, el Proponente que únicamente allegue contratos como interventor de contratos de consultoría y no subsane su entrega en los términos del numeral 1.6, no se habilitará en el Proceso de Contratación.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Si el Proponente subsana este requisito, se habilitará en el Proceso de Contratación, pero estos contratos no se tendrán en cuenta para la asignación de puntaje. En otras palabras, el otorgamiento de puntaje se realizará con los contratos válidos aportados</w:t>
      </w:r>
      <w:r>
        <w:rPr>
          <w:color w:val="000000"/>
        </w:rPr>
        <w:t xml:space="preserve"> en la oferta y que no fueron objeto de subsanación por parte del Proponente.</w:t>
      </w:r>
    </w:p>
    <w:p w:rsidR="00522688" w:rsidRDefault="00522688">
      <w:pPr>
        <w:pBdr>
          <w:top w:val="nil"/>
          <w:left w:val="nil"/>
          <w:bottom w:val="nil"/>
          <w:right w:val="nil"/>
          <w:between w:val="nil"/>
        </w:pBdr>
        <w:ind w:left="567"/>
        <w:rPr>
          <w:color w:val="000000"/>
        </w:rPr>
      </w:pPr>
    </w:p>
    <w:p w:rsidR="00522688" w:rsidRDefault="00522688">
      <w:pPr>
        <w:pBdr>
          <w:top w:val="nil"/>
          <w:left w:val="nil"/>
          <w:bottom w:val="nil"/>
          <w:right w:val="nil"/>
          <w:between w:val="nil"/>
        </w:pBdr>
        <w:ind w:left="567"/>
        <w:rPr>
          <w:color w:val="000000"/>
        </w:rPr>
      </w:pPr>
    </w:p>
    <w:p w:rsidR="00522688" w:rsidRDefault="004E4FBB">
      <w:pPr>
        <w:numPr>
          <w:ilvl w:val="0"/>
          <w:numId w:val="23"/>
        </w:numPr>
        <w:pBdr>
          <w:top w:val="nil"/>
          <w:left w:val="nil"/>
          <w:bottom w:val="nil"/>
          <w:right w:val="nil"/>
          <w:between w:val="nil"/>
        </w:pBdr>
        <w:ind w:left="567" w:hanging="567"/>
        <w:rPr>
          <w:color w:val="000000"/>
        </w:rPr>
      </w:pPr>
      <w:r>
        <w:rPr>
          <w:color w:val="000000"/>
        </w:rPr>
        <w:t xml:space="preserve">Las auto certificaciones no servirán para acreditar la experiencia requerida, ya que con estas no puede constatarse la ejecución de contratos que deben certificar los terceros </w:t>
      </w:r>
      <w:r>
        <w:rPr>
          <w:color w:val="000000"/>
        </w:rPr>
        <w:t xml:space="preserve">que recibieron </w:t>
      </w:r>
      <w:r>
        <w:rPr>
          <w:color w:val="000000"/>
        </w:rPr>
        <w:lastRenderedPageBreak/>
        <w:t>la obra, bien o servicio. Para la aplicación de esta regla, se entiende por auto certificaciones aquellas expedidas por el mismo Proponente, sus representantes, los integrantes del Proponente Plural o del mismo grupo empresarial para demostr</w:t>
      </w:r>
      <w:r>
        <w:rPr>
          <w:color w:val="000000"/>
        </w:rPr>
        <w:t>ar su propia experiencia.</w:t>
      </w:r>
    </w:p>
    <w:p w:rsidR="00522688" w:rsidRDefault="00522688">
      <w:pPr>
        <w:pBdr>
          <w:top w:val="nil"/>
          <w:left w:val="nil"/>
          <w:bottom w:val="nil"/>
          <w:right w:val="nil"/>
          <w:between w:val="nil"/>
        </w:pBdr>
        <w:ind w:left="567"/>
        <w:rPr>
          <w:color w:val="000000"/>
        </w:rPr>
      </w:pPr>
    </w:p>
    <w:p w:rsidR="00522688" w:rsidRDefault="004E4FBB">
      <w:pPr>
        <w:numPr>
          <w:ilvl w:val="0"/>
          <w:numId w:val="23"/>
        </w:numPr>
        <w:tabs>
          <w:tab w:val="left" w:pos="980"/>
        </w:tabs>
        <w:spacing w:line="272" w:lineRule="auto"/>
        <w:ind w:left="567" w:right="260"/>
        <w:rPr>
          <w:color w:val="000000"/>
        </w:rPr>
      </w:pPr>
      <w:r>
        <w:rPr>
          <w:color w:val="000000"/>
        </w:rPr>
        <w:t>Las certificaciones de experiencia expedidas por el interventor no servirán para probar la experiencia requerida.</w:t>
      </w:r>
    </w:p>
    <w:p w:rsidR="00522688" w:rsidRDefault="00522688"/>
    <w:p w:rsidR="00522688" w:rsidRDefault="004E4FBB">
      <w:pPr>
        <w:numPr>
          <w:ilvl w:val="0"/>
          <w:numId w:val="23"/>
        </w:numPr>
        <w:pBdr>
          <w:top w:val="nil"/>
          <w:left w:val="nil"/>
          <w:bottom w:val="nil"/>
          <w:right w:val="nil"/>
          <w:between w:val="nil"/>
        </w:pBdr>
        <w:ind w:left="567" w:hanging="567"/>
        <w:rPr>
          <w:color w:val="000000"/>
        </w:rPr>
      </w:pPr>
      <w:r>
        <w:rPr>
          <w:color w:val="000000"/>
        </w:rPr>
        <w:t xml:space="preserve">Si el Proponente relaciona o anexa más de cinco (5) contratos en el Formato 3 – Experiencia, para efectos de evaluar la experiencia se tendrá en cuenta como máximo los cinco (5) contratos aportados de mayor valor. </w:t>
      </w:r>
    </w:p>
    <w:p w:rsidR="00522688" w:rsidRDefault="00522688">
      <w:pPr>
        <w:pBdr>
          <w:top w:val="nil"/>
          <w:left w:val="nil"/>
          <w:bottom w:val="nil"/>
          <w:right w:val="nil"/>
          <w:between w:val="nil"/>
        </w:pBdr>
        <w:ind w:left="567"/>
        <w:rPr>
          <w:color w:val="000000"/>
        </w:rPr>
      </w:pPr>
    </w:p>
    <w:p w:rsidR="00522688" w:rsidRDefault="004E4FBB">
      <w:pPr>
        <w:pBdr>
          <w:top w:val="nil"/>
          <w:left w:val="nil"/>
          <w:bottom w:val="nil"/>
          <w:right w:val="nil"/>
          <w:between w:val="nil"/>
        </w:pBdr>
        <w:ind w:left="567"/>
        <w:rPr>
          <w:color w:val="000000"/>
        </w:rPr>
      </w:pPr>
      <w:r>
        <w:rPr>
          <w:color w:val="000000"/>
        </w:rPr>
        <w:t xml:space="preserve">Tratándose de Proponentes que acrediten </w:t>
      </w:r>
      <w:r>
        <w:rPr>
          <w:color w:val="000000"/>
        </w:rPr>
        <w:t xml:space="preserve">la calidad de Mipyme o emprendimiento y empresa de mujer con domicilio en el territorio nacional, se tendrá en cuenta como máximo los </w:t>
      </w:r>
      <w:r>
        <w:rPr>
          <w:color w:val="000000"/>
          <w:highlight w:val="yellow"/>
        </w:rPr>
        <w:t>seis (6)</w:t>
      </w:r>
      <w:r>
        <w:rPr>
          <w:color w:val="000000"/>
        </w:rPr>
        <w:t xml:space="preserve"> contratos aportados de mayor valor. En caso de que el Proponente pruebe la calidad de Mipyme y de emprendimiento </w:t>
      </w:r>
      <w:r>
        <w:rPr>
          <w:color w:val="000000"/>
        </w:rPr>
        <w:t xml:space="preserve">y empresa de mujer con domicilio en el territorio nacional de manera conjunta, se valdrán como máximo los </w:t>
      </w:r>
      <w:r>
        <w:rPr>
          <w:color w:val="000000"/>
          <w:highlight w:val="yellow"/>
        </w:rPr>
        <w:t>siete (7)</w:t>
      </w:r>
      <w:r>
        <w:rPr>
          <w:color w:val="000000"/>
        </w:rPr>
        <w:t xml:space="preserve"> contratos allegados de mayor valor.</w:t>
      </w:r>
    </w:p>
    <w:p w:rsidR="00522688" w:rsidRDefault="00522688"/>
    <w:p w:rsidR="00522688" w:rsidRDefault="004E4FBB">
      <w:pPr>
        <w:pStyle w:val="Ttulo3"/>
        <w:numPr>
          <w:ilvl w:val="2"/>
          <w:numId w:val="29"/>
        </w:numPr>
      </w:pPr>
      <w:bookmarkStart w:id="87" w:name="_heading=h.1302m92" w:colFirst="0" w:colLast="0"/>
      <w:bookmarkEnd w:id="87"/>
      <w:r>
        <w:t>CLASIFICACIÓN DE LA EXPERIENCIA EN EL “CLASIFICADOR DE BIENES, OBRAS Y SERVICIOS DE LAS NACIONES UNIDAS</w:t>
      </w:r>
      <w:r>
        <w:t>”</w:t>
      </w:r>
    </w:p>
    <w:p w:rsidR="00522688" w:rsidRDefault="00522688"/>
    <w:p w:rsidR="00522688" w:rsidRDefault="004E4FBB">
      <w:r>
        <w:t>Los Contratos aportados para efectos de acreditación de la experiencia requerida deben estar clasificados en alguno de los siguientes códigos:</w:t>
      </w:r>
    </w:p>
    <w:p w:rsidR="00522688" w:rsidRDefault="00522688"/>
    <w:tbl>
      <w:tblPr>
        <w:tblStyle w:val="af2"/>
        <w:tblW w:w="45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7"/>
        <w:gridCol w:w="1134"/>
        <w:gridCol w:w="1134"/>
        <w:gridCol w:w="1134"/>
      </w:tblGrid>
      <w:tr w:rsidR="00522688">
        <w:trPr>
          <w:tblHeader/>
          <w:jc w:val="center"/>
        </w:trPr>
        <w:tc>
          <w:tcPr>
            <w:tcW w:w="1187" w:type="dxa"/>
            <w:shd w:val="clear" w:color="auto" w:fill="3B3838"/>
            <w:vAlign w:val="center"/>
          </w:tcPr>
          <w:p w:rsidR="00522688" w:rsidRDefault="004E4FBB">
            <w:pPr>
              <w:jc w:val="center"/>
              <w:rPr>
                <w:b/>
                <w:sz w:val="18"/>
                <w:szCs w:val="18"/>
              </w:rPr>
            </w:pPr>
            <w:r>
              <w:rPr>
                <w:b/>
                <w:sz w:val="18"/>
                <w:szCs w:val="18"/>
              </w:rPr>
              <w:t>Segmentos</w:t>
            </w:r>
          </w:p>
        </w:tc>
        <w:tc>
          <w:tcPr>
            <w:tcW w:w="1134" w:type="dxa"/>
            <w:shd w:val="clear" w:color="auto" w:fill="3B3838"/>
            <w:vAlign w:val="center"/>
          </w:tcPr>
          <w:p w:rsidR="00522688" w:rsidRDefault="004E4FBB">
            <w:pPr>
              <w:jc w:val="center"/>
              <w:rPr>
                <w:b/>
                <w:sz w:val="18"/>
                <w:szCs w:val="18"/>
              </w:rPr>
            </w:pPr>
            <w:r>
              <w:rPr>
                <w:b/>
                <w:sz w:val="18"/>
                <w:szCs w:val="18"/>
              </w:rPr>
              <w:t>Familia</w:t>
            </w:r>
          </w:p>
        </w:tc>
        <w:tc>
          <w:tcPr>
            <w:tcW w:w="1134" w:type="dxa"/>
            <w:shd w:val="clear" w:color="auto" w:fill="3B3838"/>
            <w:vAlign w:val="center"/>
          </w:tcPr>
          <w:p w:rsidR="00522688" w:rsidRDefault="004E4FBB">
            <w:pPr>
              <w:jc w:val="center"/>
              <w:rPr>
                <w:b/>
                <w:sz w:val="18"/>
                <w:szCs w:val="18"/>
              </w:rPr>
            </w:pPr>
            <w:r>
              <w:rPr>
                <w:b/>
                <w:sz w:val="18"/>
                <w:szCs w:val="18"/>
              </w:rPr>
              <w:t>Clase</w:t>
            </w:r>
          </w:p>
        </w:tc>
        <w:tc>
          <w:tcPr>
            <w:tcW w:w="1134" w:type="dxa"/>
            <w:shd w:val="clear" w:color="auto" w:fill="3B3838"/>
            <w:vAlign w:val="center"/>
          </w:tcPr>
          <w:p w:rsidR="00522688" w:rsidRDefault="004E4FBB">
            <w:pPr>
              <w:jc w:val="center"/>
              <w:rPr>
                <w:b/>
                <w:sz w:val="18"/>
                <w:szCs w:val="18"/>
              </w:rPr>
            </w:pPr>
            <w:r>
              <w:rPr>
                <w:b/>
                <w:sz w:val="18"/>
                <w:szCs w:val="18"/>
              </w:rPr>
              <w:t>Nombre</w:t>
            </w:r>
          </w:p>
        </w:tc>
      </w:tr>
      <w:tr w:rsidR="00522688">
        <w:trPr>
          <w:jc w:val="center"/>
        </w:trPr>
        <w:tc>
          <w:tcPr>
            <w:tcW w:w="1187" w:type="dxa"/>
            <w:vAlign w:val="center"/>
          </w:tcPr>
          <w:p w:rsidR="00522688" w:rsidRDefault="004E4FBB">
            <w:pPr>
              <w:jc w:val="center"/>
              <w:rPr>
                <w:sz w:val="18"/>
                <w:szCs w:val="18"/>
              </w:rPr>
            </w:pPr>
            <w:r>
              <w:rPr>
                <w:sz w:val="18"/>
                <w:szCs w:val="18"/>
              </w:rPr>
              <w:t>xx o xx</w:t>
            </w:r>
          </w:p>
        </w:tc>
        <w:tc>
          <w:tcPr>
            <w:tcW w:w="1134" w:type="dxa"/>
            <w:vAlign w:val="center"/>
          </w:tcPr>
          <w:p w:rsidR="00522688" w:rsidRDefault="004E4FBB">
            <w:pPr>
              <w:jc w:val="center"/>
              <w:rPr>
                <w:sz w:val="18"/>
                <w:szCs w:val="18"/>
              </w:rPr>
            </w:pPr>
            <w:r>
              <w:rPr>
                <w:sz w:val="18"/>
                <w:szCs w:val="18"/>
              </w:rPr>
              <w:t>XX</w:t>
            </w:r>
          </w:p>
        </w:tc>
        <w:tc>
          <w:tcPr>
            <w:tcW w:w="1134" w:type="dxa"/>
            <w:vAlign w:val="center"/>
          </w:tcPr>
          <w:p w:rsidR="00522688" w:rsidRDefault="004E4FBB">
            <w:pPr>
              <w:jc w:val="center"/>
              <w:rPr>
                <w:sz w:val="18"/>
                <w:szCs w:val="18"/>
              </w:rPr>
            </w:pPr>
            <w:r>
              <w:rPr>
                <w:sz w:val="18"/>
                <w:szCs w:val="18"/>
              </w:rPr>
              <w:t>XX</w:t>
            </w:r>
          </w:p>
        </w:tc>
        <w:tc>
          <w:tcPr>
            <w:tcW w:w="1134" w:type="dxa"/>
            <w:vAlign w:val="center"/>
          </w:tcPr>
          <w:p w:rsidR="00522688" w:rsidRDefault="004E4FBB">
            <w:pPr>
              <w:jc w:val="center"/>
              <w:rPr>
                <w:sz w:val="18"/>
                <w:szCs w:val="18"/>
              </w:rPr>
            </w:pPr>
            <w:r>
              <w:rPr>
                <w:sz w:val="18"/>
                <w:szCs w:val="18"/>
              </w:rPr>
              <w:t>XXXX</w:t>
            </w:r>
          </w:p>
        </w:tc>
      </w:tr>
      <w:tr w:rsidR="00522688">
        <w:trPr>
          <w:jc w:val="center"/>
        </w:trPr>
        <w:tc>
          <w:tcPr>
            <w:tcW w:w="1187" w:type="dxa"/>
            <w:vAlign w:val="center"/>
          </w:tcPr>
          <w:p w:rsidR="00522688" w:rsidRDefault="004E4FBB">
            <w:pPr>
              <w:jc w:val="center"/>
              <w:rPr>
                <w:sz w:val="18"/>
                <w:szCs w:val="18"/>
              </w:rPr>
            </w:pPr>
            <w:r>
              <w:rPr>
                <w:sz w:val="18"/>
                <w:szCs w:val="18"/>
              </w:rPr>
              <w:t>Xx o xx</w:t>
            </w:r>
          </w:p>
        </w:tc>
        <w:tc>
          <w:tcPr>
            <w:tcW w:w="1134" w:type="dxa"/>
            <w:vAlign w:val="center"/>
          </w:tcPr>
          <w:p w:rsidR="00522688" w:rsidRDefault="004E4FBB">
            <w:pPr>
              <w:jc w:val="center"/>
              <w:rPr>
                <w:sz w:val="18"/>
                <w:szCs w:val="18"/>
              </w:rPr>
            </w:pPr>
            <w:r>
              <w:rPr>
                <w:sz w:val="18"/>
                <w:szCs w:val="18"/>
              </w:rPr>
              <w:t>XX</w:t>
            </w:r>
          </w:p>
        </w:tc>
        <w:tc>
          <w:tcPr>
            <w:tcW w:w="1134" w:type="dxa"/>
            <w:vAlign w:val="center"/>
          </w:tcPr>
          <w:p w:rsidR="00522688" w:rsidRDefault="004E4FBB">
            <w:pPr>
              <w:jc w:val="center"/>
              <w:rPr>
                <w:sz w:val="18"/>
                <w:szCs w:val="18"/>
              </w:rPr>
            </w:pPr>
            <w:r>
              <w:rPr>
                <w:sz w:val="18"/>
                <w:szCs w:val="18"/>
              </w:rPr>
              <w:t>XX</w:t>
            </w:r>
          </w:p>
        </w:tc>
        <w:tc>
          <w:tcPr>
            <w:tcW w:w="1134" w:type="dxa"/>
            <w:vAlign w:val="center"/>
          </w:tcPr>
          <w:p w:rsidR="00522688" w:rsidRDefault="004E4FBB">
            <w:pPr>
              <w:jc w:val="center"/>
              <w:rPr>
                <w:sz w:val="18"/>
                <w:szCs w:val="18"/>
              </w:rPr>
            </w:pPr>
            <w:r>
              <w:rPr>
                <w:sz w:val="18"/>
                <w:szCs w:val="18"/>
              </w:rPr>
              <w:t>XXXX</w:t>
            </w:r>
          </w:p>
        </w:tc>
      </w:tr>
      <w:tr w:rsidR="00522688">
        <w:trPr>
          <w:jc w:val="center"/>
        </w:trPr>
        <w:tc>
          <w:tcPr>
            <w:tcW w:w="1187" w:type="dxa"/>
            <w:vAlign w:val="center"/>
          </w:tcPr>
          <w:p w:rsidR="00522688" w:rsidRDefault="004E4FBB">
            <w:pPr>
              <w:jc w:val="center"/>
              <w:rPr>
                <w:sz w:val="18"/>
                <w:szCs w:val="18"/>
              </w:rPr>
            </w:pPr>
            <w:r>
              <w:rPr>
                <w:sz w:val="18"/>
                <w:szCs w:val="18"/>
              </w:rPr>
              <w:t>Xx o xx</w:t>
            </w:r>
          </w:p>
        </w:tc>
        <w:tc>
          <w:tcPr>
            <w:tcW w:w="1134" w:type="dxa"/>
            <w:vAlign w:val="center"/>
          </w:tcPr>
          <w:p w:rsidR="00522688" w:rsidRDefault="004E4FBB">
            <w:pPr>
              <w:jc w:val="center"/>
              <w:rPr>
                <w:sz w:val="18"/>
                <w:szCs w:val="18"/>
              </w:rPr>
            </w:pPr>
            <w:r>
              <w:rPr>
                <w:sz w:val="18"/>
                <w:szCs w:val="18"/>
              </w:rPr>
              <w:t>XX</w:t>
            </w:r>
          </w:p>
        </w:tc>
        <w:tc>
          <w:tcPr>
            <w:tcW w:w="1134" w:type="dxa"/>
            <w:vAlign w:val="center"/>
          </w:tcPr>
          <w:p w:rsidR="00522688" w:rsidRDefault="004E4FBB">
            <w:pPr>
              <w:jc w:val="center"/>
              <w:rPr>
                <w:sz w:val="18"/>
                <w:szCs w:val="18"/>
              </w:rPr>
            </w:pPr>
            <w:r>
              <w:rPr>
                <w:sz w:val="18"/>
                <w:szCs w:val="18"/>
              </w:rPr>
              <w:t>XX</w:t>
            </w:r>
          </w:p>
        </w:tc>
        <w:tc>
          <w:tcPr>
            <w:tcW w:w="1134" w:type="dxa"/>
            <w:vAlign w:val="center"/>
          </w:tcPr>
          <w:p w:rsidR="00522688" w:rsidRDefault="004E4FBB">
            <w:pPr>
              <w:jc w:val="center"/>
              <w:rPr>
                <w:sz w:val="18"/>
                <w:szCs w:val="18"/>
              </w:rPr>
            </w:pPr>
            <w:r>
              <w:rPr>
                <w:sz w:val="18"/>
                <w:szCs w:val="18"/>
              </w:rPr>
              <w:t>XXXX</w:t>
            </w:r>
          </w:p>
        </w:tc>
      </w:tr>
    </w:tbl>
    <w:p w:rsidR="00522688" w:rsidRDefault="00522688"/>
    <w:p w:rsidR="00522688" w:rsidRDefault="004E4FBB">
      <w:r>
        <w:rPr>
          <w:highlight w:val="lightGray"/>
        </w:rPr>
        <w:t>[La Entidad contratante debe diligenciar el cuadro y exigir los contratos identificados con el clasificador de bienes y servicios bajo el segmento xx y/o xx y hasta el tercer nivel que sean concordantes con el objeto principal del objeto a ejecutar]</w:t>
      </w:r>
    </w:p>
    <w:p w:rsidR="00522688" w:rsidRDefault="00522688"/>
    <w:p w:rsidR="00522688" w:rsidRDefault="004E4FBB">
      <w:r>
        <w:t>Las personas naturales o jurídicas extranjeras sin domicilio o sucursal en Colombia deberán indicar los códigos de clasificación relacionados con los bienes, obras o servicios ejecutados con alguno de los documentos válidos establecidos en el Pliego de Con</w:t>
      </w:r>
      <w:r>
        <w:t>diciones para cada uno de los Contratos aportados para la acreditación de la experiencia requerida. En el evento en el que dichos documentos no incluyan los códigos de clasificación, el representante legal del proponente deberá incorporarlos en el “Formato</w:t>
      </w:r>
      <w:r>
        <w:t xml:space="preserve"> 3 – Experiencia”.</w:t>
      </w:r>
    </w:p>
    <w:p w:rsidR="00522688" w:rsidRDefault="00522688"/>
    <w:p w:rsidR="00522688" w:rsidRDefault="004E4FBB">
      <w:pPr>
        <w:pStyle w:val="Ttulo3"/>
        <w:numPr>
          <w:ilvl w:val="2"/>
          <w:numId w:val="29"/>
        </w:numPr>
      </w:pPr>
      <w:bookmarkStart w:id="88" w:name="_heading=h.3mzq4wv" w:colFirst="0" w:colLast="0"/>
      <w:bookmarkEnd w:id="88"/>
      <w:r>
        <w:t>ACREDITACIÓN DE LA EXPERIENCIA REQUERIDA</w:t>
      </w:r>
    </w:p>
    <w:p w:rsidR="00522688" w:rsidRDefault="00522688"/>
    <w:p w:rsidR="00522688" w:rsidRDefault="004E4FBB">
      <w:r>
        <w:t xml:space="preserve">Los Proponentes acreditarán para cada uno de los contratos aportados la siguiente información, mediante alguno de los documentos señalados en la sección 10.1.5 del Pliego de Condiciones: </w:t>
      </w:r>
    </w:p>
    <w:p w:rsidR="00522688" w:rsidRDefault="00522688"/>
    <w:p w:rsidR="00522688" w:rsidRDefault="004E4FBB">
      <w:pPr>
        <w:numPr>
          <w:ilvl w:val="2"/>
          <w:numId w:val="22"/>
        </w:numPr>
        <w:pBdr>
          <w:top w:val="nil"/>
          <w:left w:val="nil"/>
          <w:bottom w:val="nil"/>
          <w:right w:val="nil"/>
          <w:between w:val="nil"/>
        </w:pBdr>
        <w:ind w:left="709" w:hanging="709"/>
        <w:rPr>
          <w:color w:val="000000"/>
        </w:rPr>
      </w:pPr>
      <w:r>
        <w:rPr>
          <w:color w:val="000000"/>
        </w:rPr>
        <w:t>Contratante.</w:t>
      </w:r>
    </w:p>
    <w:p w:rsidR="00522688" w:rsidRDefault="004E4FBB">
      <w:pPr>
        <w:numPr>
          <w:ilvl w:val="2"/>
          <w:numId w:val="22"/>
        </w:numPr>
        <w:pBdr>
          <w:top w:val="nil"/>
          <w:left w:val="nil"/>
          <w:bottom w:val="nil"/>
          <w:right w:val="nil"/>
          <w:between w:val="nil"/>
        </w:pBdr>
        <w:ind w:left="709" w:hanging="709"/>
        <w:rPr>
          <w:color w:val="000000"/>
        </w:rPr>
      </w:pPr>
      <w:r>
        <w:rPr>
          <w:color w:val="000000"/>
        </w:rPr>
        <w:t>Objeto del contrato.</w:t>
      </w:r>
    </w:p>
    <w:p w:rsidR="00522688" w:rsidRDefault="004E4FBB">
      <w:pPr>
        <w:numPr>
          <w:ilvl w:val="2"/>
          <w:numId w:val="22"/>
        </w:numPr>
        <w:pBdr>
          <w:top w:val="nil"/>
          <w:left w:val="nil"/>
          <w:bottom w:val="nil"/>
          <w:right w:val="nil"/>
          <w:between w:val="nil"/>
        </w:pBdr>
        <w:ind w:left="709" w:hanging="709"/>
        <w:rPr>
          <w:color w:val="000000"/>
        </w:rPr>
      </w:pPr>
      <w:r>
        <w:rPr>
          <w:color w:val="000000"/>
        </w:rPr>
        <w:t>Principales actividades ejecutadas.</w:t>
      </w:r>
    </w:p>
    <w:p w:rsidR="00522688" w:rsidRDefault="004E4FBB">
      <w:pPr>
        <w:numPr>
          <w:ilvl w:val="2"/>
          <w:numId w:val="22"/>
        </w:numPr>
        <w:pBdr>
          <w:top w:val="nil"/>
          <w:left w:val="nil"/>
          <w:bottom w:val="nil"/>
          <w:right w:val="nil"/>
          <w:between w:val="nil"/>
        </w:pBdr>
        <w:ind w:left="709" w:hanging="709"/>
        <w:rPr>
          <w:color w:val="000000"/>
        </w:rPr>
      </w:pPr>
      <w:r>
        <w:rPr>
          <w:color w:val="000000"/>
        </w:rPr>
        <w:t xml:space="preserve">Las longitudes, volúmenes, dimensiones, tipologías y demás condiciones de experiencia establecidas en la “Matriz 1 – Experiencia” a la cual se realizó la consultoría, si aplica. </w:t>
      </w:r>
    </w:p>
    <w:p w:rsidR="00522688" w:rsidRDefault="004E4FBB">
      <w:pPr>
        <w:numPr>
          <w:ilvl w:val="2"/>
          <w:numId w:val="22"/>
        </w:numPr>
        <w:pBdr>
          <w:top w:val="nil"/>
          <w:left w:val="nil"/>
          <w:bottom w:val="nil"/>
          <w:right w:val="nil"/>
          <w:between w:val="nil"/>
        </w:pBdr>
        <w:ind w:left="709" w:hanging="709"/>
        <w:rPr>
          <w:color w:val="000000"/>
        </w:rPr>
      </w:pPr>
      <w:r>
        <w:rPr>
          <w:color w:val="000000"/>
        </w:rPr>
        <w:t>La fech</w:t>
      </w:r>
      <w:r>
        <w:rPr>
          <w:color w:val="000000"/>
        </w:rPr>
        <w:t>a de iniciación de la ejecución del contrato. Esta fecha es diferente a la de suscripción del contrato, a menos que de los documentos del numeral 10.1.5 se determine otra cosa.</w:t>
      </w:r>
    </w:p>
    <w:p w:rsidR="00522688" w:rsidRDefault="00522688">
      <w:pPr>
        <w:pBdr>
          <w:top w:val="nil"/>
          <w:left w:val="nil"/>
          <w:bottom w:val="nil"/>
          <w:right w:val="nil"/>
          <w:between w:val="nil"/>
        </w:pBdr>
        <w:ind w:left="709" w:hanging="709"/>
        <w:rPr>
          <w:color w:val="000000"/>
        </w:rPr>
      </w:pPr>
    </w:p>
    <w:p w:rsidR="00522688" w:rsidRDefault="004E4FBB">
      <w:pPr>
        <w:pBdr>
          <w:top w:val="nil"/>
          <w:left w:val="nil"/>
          <w:bottom w:val="nil"/>
          <w:right w:val="nil"/>
          <w:between w:val="nil"/>
        </w:pBdr>
        <w:ind w:left="709"/>
        <w:rPr>
          <w:color w:val="000000"/>
        </w:rPr>
      </w:pPr>
      <w:r>
        <w:rPr>
          <w:color w:val="000000"/>
        </w:rPr>
        <w:t>Si en los documentos válidos aportados para la acreditación de experiencia sol</w:t>
      </w:r>
      <w:r>
        <w:rPr>
          <w:color w:val="000000"/>
        </w:rPr>
        <w:t xml:space="preserve">o se evidencia fecha (mes, año) de suscripción y/o inicio del contrato: se tendrá en cuenta el último día del mes que se encuentre señalado en la certificación. </w:t>
      </w:r>
    </w:p>
    <w:p w:rsidR="00522688" w:rsidRDefault="004E4FBB">
      <w:pPr>
        <w:numPr>
          <w:ilvl w:val="2"/>
          <w:numId w:val="22"/>
        </w:numPr>
        <w:pBdr>
          <w:top w:val="nil"/>
          <w:left w:val="nil"/>
          <w:bottom w:val="nil"/>
          <w:right w:val="nil"/>
          <w:between w:val="nil"/>
        </w:pBdr>
        <w:ind w:left="709" w:hanging="709"/>
        <w:rPr>
          <w:color w:val="000000"/>
        </w:rPr>
      </w:pPr>
      <w:r>
        <w:rPr>
          <w:color w:val="000000"/>
        </w:rPr>
        <w:t>La fecha de terminación de la ejecución del contrato. Esta fecha de terminación no es la fecha</w:t>
      </w:r>
      <w:r>
        <w:rPr>
          <w:color w:val="000000"/>
        </w:rPr>
        <w:t xml:space="preserve"> de entrega y/o recibo final, liquidación, o acta final, salvo que de los documentos del numeral 10.1.5 se determine otra cosa. </w:t>
      </w:r>
    </w:p>
    <w:p w:rsidR="00522688" w:rsidRDefault="00522688">
      <w:pPr>
        <w:pBdr>
          <w:top w:val="nil"/>
          <w:left w:val="nil"/>
          <w:bottom w:val="nil"/>
          <w:right w:val="nil"/>
          <w:between w:val="nil"/>
        </w:pBdr>
        <w:ind w:left="709" w:hanging="709"/>
        <w:rPr>
          <w:color w:val="000000"/>
        </w:rPr>
      </w:pPr>
    </w:p>
    <w:p w:rsidR="00522688" w:rsidRDefault="004E4FBB">
      <w:pPr>
        <w:pBdr>
          <w:top w:val="nil"/>
          <w:left w:val="nil"/>
          <w:bottom w:val="nil"/>
          <w:right w:val="nil"/>
          <w:between w:val="nil"/>
        </w:pBdr>
        <w:ind w:left="709"/>
        <w:rPr>
          <w:color w:val="000000"/>
        </w:rPr>
      </w:pPr>
      <w:r>
        <w:rPr>
          <w:color w:val="000000"/>
        </w:rPr>
        <w:t>Si en los documentos válidos aportados para la acreditación de experiencia solo se evidencia fecha (mes, año) de terminación d</w:t>
      </w:r>
      <w:r>
        <w:rPr>
          <w:color w:val="000000"/>
        </w:rPr>
        <w:t>el contrato: se tendrá en cuenta el primer día del mes que se encuentre señalado en la certificación.</w:t>
      </w:r>
    </w:p>
    <w:p w:rsidR="00522688" w:rsidRDefault="00522688">
      <w:pPr>
        <w:pBdr>
          <w:top w:val="nil"/>
          <w:left w:val="nil"/>
          <w:bottom w:val="nil"/>
          <w:right w:val="nil"/>
          <w:between w:val="nil"/>
        </w:pBdr>
        <w:ind w:left="709" w:hanging="709"/>
        <w:rPr>
          <w:color w:val="000000"/>
        </w:rPr>
      </w:pPr>
    </w:p>
    <w:p w:rsidR="00522688" w:rsidRDefault="004E4FBB">
      <w:pPr>
        <w:numPr>
          <w:ilvl w:val="2"/>
          <w:numId w:val="22"/>
        </w:numPr>
        <w:pBdr>
          <w:top w:val="nil"/>
          <w:left w:val="nil"/>
          <w:bottom w:val="nil"/>
          <w:right w:val="nil"/>
          <w:between w:val="nil"/>
        </w:pBdr>
        <w:ind w:left="709" w:hanging="709"/>
        <w:rPr>
          <w:color w:val="000000"/>
        </w:rPr>
      </w:pPr>
      <w:r>
        <w:rPr>
          <w:color w:val="000000"/>
        </w:rPr>
        <w:t>Nombre y cargo de la persona que expide la certificación.</w:t>
      </w:r>
    </w:p>
    <w:p w:rsidR="00522688" w:rsidRDefault="004E4FBB">
      <w:pPr>
        <w:numPr>
          <w:ilvl w:val="2"/>
          <w:numId w:val="22"/>
        </w:numPr>
        <w:pBdr>
          <w:top w:val="nil"/>
          <w:left w:val="nil"/>
          <w:bottom w:val="nil"/>
          <w:right w:val="nil"/>
          <w:between w:val="nil"/>
        </w:pBdr>
        <w:ind w:left="709" w:hanging="709"/>
        <w:rPr>
          <w:color w:val="000000"/>
        </w:rPr>
      </w:pPr>
      <w:r>
        <w:rPr>
          <w:color w:val="00000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rsidR="00522688" w:rsidRDefault="004E4FBB">
      <w:pPr>
        <w:numPr>
          <w:ilvl w:val="2"/>
          <w:numId w:val="22"/>
        </w:numPr>
        <w:pBdr>
          <w:top w:val="nil"/>
          <w:left w:val="nil"/>
          <w:bottom w:val="nil"/>
          <w:right w:val="nil"/>
          <w:between w:val="nil"/>
        </w:pBdr>
        <w:ind w:left="709" w:hanging="709"/>
        <w:rPr>
          <w:color w:val="000000"/>
        </w:rPr>
      </w:pPr>
      <w:r>
        <w:rPr>
          <w:color w:val="000000"/>
        </w:rPr>
        <w:t>V</w:t>
      </w:r>
      <w:r>
        <w:rPr>
          <w:color w:val="000000"/>
        </w:rPr>
        <w:t xml:space="preserve">alor total ejecutado. Tratándose de personas obligadas a tener RUP el valor ejecutado o facturado se tomará del valor registrado en el RUP. </w:t>
      </w:r>
    </w:p>
    <w:p w:rsidR="00522688" w:rsidRDefault="00522688"/>
    <w:p w:rsidR="00522688" w:rsidRDefault="004E4FBB">
      <w:pPr>
        <w:pStyle w:val="Ttulo3"/>
        <w:numPr>
          <w:ilvl w:val="2"/>
          <w:numId w:val="29"/>
        </w:numPr>
      </w:pPr>
      <w:bookmarkStart w:id="89" w:name="_heading=h.2250f4o" w:colFirst="0" w:colLast="0"/>
      <w:bookmarkEnd w:id="89"/>
      <w:r>
        <w:t>DOCUMENTOS VÁLIDOS PARA LA ACREDITACIÓN DE LA EXPERIENCIA REQUERIDA</w:t>
      </w:r>
    </w:p>
    <w:p w:rsidR="00522688" w:rsidRDefault="00522688"/>
    <w:p w:rsidR="00522688" w:rsidRDefault="004E4FBB">
      <w:r>
        <w:t>En aquellos casos en que por las característi</w:t>
      </w:r>
      <w:r>
        <w:t>cas del objeto a contratar se requiera verificar información adicional a la contenida en el RUP, o tratándose de personas naturales o jurídicas extranjeras sin domicilio o sucursal en Colombia, el Proponente podrá aportar uno o algunos de los documentos qu</w:t>
      </w:r>
      <w:r>
        <w:t>e se indican a continuación para que la Entidad realice la verificación directamente. Los mismos deberán estar debidamente diligenciados y suscritos por quienes intervinieron en la elaboración del documento. En caso de existir discrepancias entre dos (2) o</w:t>
      </w:r>
      <w:r>
        <w:t xml:space="preserve"> más documentos aportados por el Proponente para la acreditación de la experiencia, se tendrá en cuenta el orden de prevalencia establecido a continuación:</w:t>
      </w:r>
    </w:p>
    <w:p w:rsidR="00522688" w:rsidRDefault="00522688"/>
    <w:p w:rsidR="00522688" w:rsidRDefault="004E4FBB">
      <w:pPr>
        <w:numPr>
          <w:ilvl w:val="0"/>
          <w:numId w:val="24"/>
        </w:numPr>
        <w:pBdr>
          <w:top w:val="nil"/>
          <w:left w:val="nil"/>
          <w:bottom w:val="nil"/>
          <w:right w:val="nil"/>
          <w:between w:val="nil"/>
        </w:pBdr>
        <w:ind w:left="567" w:hanging="567"/>
        <w:rPr>
          <w:color w:val="000000"/>
        </w:rPr>
      </w:pPr>
      <w:r>
        <w:rPr>
          <w:color w:val="000000"/>
        </w:rPr>
        <w:t>Acta de liquidación y/o recibo final del Contrato de Consultoría.</w:t>
      </w:r>
    </w:p>
    <w:p w:rsidR="00522688" w:rsidRDefault="004E4FBB">
      <w:pPr>
        <w:numPr>
          <w:ilvl w:val="0"/>
          <w:numId w:val="24"/>
        </w:numPr>
        <w:pBdr>
          <w:top w:val="nil"/>
          <w:left w:val="nil"/>
          <w:bottom w:val="nil"/>
          <w:right w:val="nil"/>
          <w:between w:val="nil"/>
        </w:pBdr>
        <w:ind w:left="567" w:hanging="567"/>
        <w:rPr>
          <w:color w:val="000000"/>
        </w:rPr>
      </w:pPr>
      <w:r>
        <w:rPr>
          <w:color w:val="000000"/>
        </w:rPr>
        <w:t xml:space="preserve">Acta de liquidación y/o recibo final del contrato de obra al cual se le realizó la interventoría al proyecto de consultoría, en la cual se puede verificar las actividades ejecutadas y el alcance de las mismas. </w:t>
      </w:r>
    </w:p>
    <w:p w:rsidR="00522688" w:rsidRDefault="004E4FBB">
      <w:pPr>
        <w:numPr>
          <w:ilvl w:val="0"/>
          <w:numId w:val="24"/>
        </w:numPr>
        <w:pBdr>
          <w:top w:val="nil"/>
          <w:left w:val="nil"/>
          <w:bottom w:val="nil"/>
          <w:right w:val="nil"/>
          <w:between w:val="nil"/>
        </w:pBdr>
        <w:ind w:left="567" w:hanging="567"/>
        <w:rPr>
          <w:color w:val="000000"/>
        </w:rPr>
      </w:pPr>
      <w:r>
        <w:rPr>
          <w:color w:val="000000"/>
        </w:rPr>
        <w:t xml:space="preserve">Certificación de experiencia. Expedida </w:t>
      </w:r>
      <w:r>
        <w:rPr>
          <w:color w:val="000000"/>
          <w:highlight w:val="lightGray"/>
        </w:rPr>
        <w:t>[con p</w:t>
      </w:r>
      <w:r>
        <w:rPr>
          <w:color w:val="000000"/>
          <w:highlight w:val="lightGray"/>
        </w:rPr>
        <w:t>osterioridad a la fecha de terminación del contrato o antes del cierre del Proceso de Contratación que acredite el porcentaje ejecutado hasta esa fecha]</w:t>
      </w:r>
      <w:r>
        <w:rPr>
          <w:color w:val="000000"/>
        </w:rPr>
        <w:t xml:space="preserve"> en la que conste la información de la consultoría debidamente suscrita por quien esté en capacidad u ob</w:t>
      </w:r>
      <w:r>
        <w:rPr>
          <w:color w:val="000000"/>
        </w:rPr>
        <w:t xml:space="preserve">ligación de hacerlo en la Entidad contratante. </w:t>
      </w:r>
    </w:p>
    <w:p w:rsidR="00522688" w:rsidRDefault="004E4FBB">
      <w:pPr>
        <w:numPr>
          <w:ilvl w:val="0"/>
          <w:numId w:val="24"/>
        </w:numPr>
        <w:pBdr>
          <w:top w:val="nil"/>
          <w:left w:val="nil"/>
          <w:bottom w:val="nil"/>
          <w:right w:val="nil"/>
          <w:between w:val="nil"/>
        </w:pBdr>
        <w:ind w:left="567" w:hanging="567"/>
        <w:rPr>
          <w:color w:val="000000"/>
        </w:rPr>
      </w:pPr>
      <w:r>
        <w:rPr>
          <w:color w:val="000000"/>
        </w:rPr>
        <w:t>Acta de inicio o la orden de inicio. La misma solo será válida para efectos de acreditar la fecha de inicio.</w:t>
      </w:r>
    </w:p>
    <w:p w:rsidR="00522688" w:rsidRDefault="004E4FBB">
      <w:pPr>
        <w:numPr>
          <w:ilvl w:val="0"/>
          <w:numId w:val="24"/>
        </w:numPr>
        <w:pBdr>
          <w:top w:val="nil"/>
          <w:left w:val="nil"/>
          <w:bottom w:val="nil"/>
          <w:right w:val="nil"/>
          <w:between w:val="nil"/>
        </w:pBdr>
        <w:ind w:left="567" w:hanging="567"/>
        <w:rPr>
          <w:color w:val="000000"/>
        </w:rPr>
      </w:pPr>
      <w:r>
        <w:rPr>
          <w:color w:val="000000"/>
        </w:rPr>
        <w:t>Los contratos que hayan sido objeto de cesión deberán encontrarse debidamente inscritos y clasifica</w:t>
      </w:r>
      <w:r>
        <w:rPr>
          <w:color w:val="000000"/>
        </w:rPr>
        <w:t>dos en el RUP o en uno o alguno de los documentos considerados como válidos para la acreditación de experiencia de la empresa cesionaria, según aplique. La experiencia se admitirá para el cesionario y no se reconocerá experiencia alguna al cedente.</w:t>
      </w:r>
    </w:p>
    <w:p w:rsidR="00522688" w:rsidRDefault="00522688">
      <w:pPr>
        <w:pBdr>
          <w:top w:val="nil"/>
          <w:left w:val="nil"/>
          <w:bottom w:val="nil"/>
          <w:right w:val="nil"/>
          <w:between w:val="nil"/>
        </w:pBdr>
        <w:ind w:left="567"/>
        <w:rPr>
          <w:color w:val="000000"/>
        </w:rPr>
      </w:pPr>
    </w:p>
    <w:p w:rsidR="00522688" w:rsidRDefault="004E4FBB">
      <w:r>
        <w:t>Para e</w:t>
      </w:r>
      <w:r>
        <w:t>fectos de acreditación de experiencia entre particulares, el Proponente deberá aportar, además, la certificación de facturación expedida con posterioridad a la fecha de terminación del contrato emitida por el revisor fiscal o contador público del Proponent</w:t>
      </w:r>
      <w:r>
        <w:t>e que demuestre la experiencia, según corresponda, con la copia de la tarjeta profesional y el certificado de antecedente disciplinarios vigente, emitido por la Junta Central de Contadores, o los documentos equivalentes que hagan sus veces en el país donde</w:t>
      </w:r>
      <w:r>
        <w:t xml:space="preserve"> se originó el documento del profesional. </w:t>
      </w:r>
    </w:p>
    <w:p w:rsidR="00522688" w:rsidRDefault="00522688"/>
    <w:p w:rsidR="00522688" w:rsidRDefault="004E4FBB">
      <w:pPr>
        <w:pStyle w:val="Ttulo3"/>
        <w:numPr>
          <w:ilvl w:val="2"/>
          <w:numId w:val="29"/>
        </w:numPr>
      </w:pPr>
      <w:bookmarkStart w:id="90" w:name="_heading=h.haapch" w:colFirst="0" w:colLast="0"/>
      <w:bookmarkEnd w:id="90"/>
      <w:r>
        <w:lastRenderedPageBreak/>
        <w:t>PARA SUBCONTRATOS</w:t>
      </w:r>
    </w:p>
    <w:p w:rsidR="00522688" w:rsidRDefault="00522688"/>
    <w:p w:rsidR="00522688" w:rsidRDefault="004E4FBB">
      <w:r>
        <w:t xml:space="preserve">Para acreditar la experiencia de subcontratos, cuyo contrato principal fue suscrito con particulares, se aplicarán las disposiciones establecidas en el numeral anterior.  </w:t>
      </w:r>
    </w:p>
    <w:p w:rsidR="00522688" w:rsidRDefault="00522688"/>
    <w:p w:rsidR="00522688" w:rsidRDefault="004E4FBB">
      <w:r>
        <w:t>Para acreditar la ex</w:t>
      </w:r>
      <w:r>
        <w:t>periencia de contratos derivados de contratos suscritos con Entidades Estatales el Proponente deberá aportar los documentos que se enlistan a continuación:</w:t>
      </w:r>
    </w:p>
    <w:p w:rsidR="00522688" w:rsidRDefault="00522688"/>
    <w:p w:rsidR="00522688" w:rsidRDefault="004E4FBB">
      <w:pPr>
        <w:numPr>
          <w:ilvl w:val="0"/>
          <w:numId w:val="25"/>
        </w:numPr>
        <w:pBdr>
          <w:top w:val="nil"/>
          <w:left w:val="nil"/>
          <w:bottom w:val="nil"/>
          <w:right w:val="nil"/>
          <w:between w:val="nil"/>
        </w:pBdr>
        <w:ind w:left="567" w:hanging="567"/>
        <w:rPr>
          <w:color w:val="000000"/>
        </w:rPr>
      </w:pPr>
      <w:r>
        <w:rPr>
          <w:color w:val="000000"/>
        </w:rPr>
        <w:t>Certificación del subcontrato. Certificación expedida con posterioridad a la fecha de terminación del subcontrato, la cual deberá estar suscrita por el representante legal del contratista del contrato principal. Así mismo, debe contener la información requ</w:t>
      </w:r>
      <w:r>
        <w:rPr>
          <w:color w:val="000000"/>
        </w:rPr>
        <w:t>erida en el Pliego de Condiciones para efectos de la acreditación de la experiencia.</w:t>
      </w:r>
    </w:p>
    <w:p w:rsidR="00522688" w:rsidRDefault="004E4FBB">
      <w:r>
        <w:t xml:space="preserve"> </w:t>
      </w:r>
    </w:p>
    <w:p w:rsidR="00522688" w:rsidRDefault="004E4FBB">
      <w:pPr>
        <w:numPr>
          <w:ilvl w:val="0"/>
          <w:numId w:val="25"/>
        </w:numPr>
        <w:pBdr>
          <w:top w:val="nil"/>
          <w:left w:val="nil"/>
          <w:bottom w:val="nil"/>
          <w:right w:val="nil"/>
          <w:between w:val="nil"/>
        </w:pBdr>
        <w:ind w:left="567" w:hanging="567"/>
        <w:rPr>
          <w:color w:val="000000"/>
        </w:rPr>
      </w:pPr>
      <w:r>
        <w:rPr>
          <w:color w:val="000000"/>
        </w:rPr>
        <w:t>Certificación expedida por la Entidad Estatal del contrato principal del cual se derivó el subcontrato. Esta certificación debe contener la información básica del contra</w:t>
      </w:r>
      <w:r>
        <w:rPr>
          <w:color w:val="000000"/>
        </w:rPr>
        <w:t>to principal y la siguiente:</w:t>
      </w:r>
    </w:p>
    <w:p w:rsidR="00522688" w:rsidRDefault="00522688"/>
    <w:p w:rsidR="00522688" w:rsidRDefault="004E4FBB">
      <w:pPr>
        <w:numPr>
          <w:ilvl w:val="0"/>
          <w:numId w:val="26"/>
        </w:numPr>
        <w:pBdr>
          <w:top w:val="nil"/>
          <w:left w:val="nil"/>
          <w:bottom w:val="nil"/>
          <w:right w:val="nil"/>
          <w:between w:val="nil"/>
        </w:pBdr>
        <w:ind w:left="1134" w:hanging="567"/>
        <w:rPr>
          <w:color w:val="000000"/>
        </w:rPr>
      </w:pPr>
      <w:r>
        <w:rPr>
          <w:color w:val="000000"/>
        </w:rPr>
        <w:t xml:space="preserve">Alcance de las actividades de consultoría en el contrato principal. </w:t>
      </w:r>
    </w:p>
    <w:p w:rsidR="00522688" w:rsidRDefault="004E4FBB">
      <w:pPr>
        <w:numPr>
          <w:ilvl w:val="0"/>
          <w:numId w:val="26"/>
        </w:numPr>
        <w:pBdr>
          <w:top w:val="nil"/>
          <w:left w:val="nil"/>
          <w:bottom w:val="nil"/>
          <w:right w:val="nil"/>
          <w:between w:val="nil"/>
        </w:pBdr>
        <w:ind w:left="1134" w:hanging="567"/>
        <w:rPr>
          <w:color w:val="000000"/>
        </w:rPr>
      </w:pPr>
      <w:r>
        <w:rPr>
          <w:color w:val="000000"/>
        </w:rPr>
        <w:t>Información en la cual se evidencie que la figura de la subcontratación es permitida en el marco del contrato principal. En caso de que no requiera autorizac</w:t>
      </w:r>
      <w:r>
        <w:rPr>
          <w:color w:val="000000"/>
        </w:rPr>
        <w:t>ión para subcontratar, el Proponente podrá aportar con su propuesta alguno de los siguientes documentos que den cuenta de esa circunstancia: i) copia del contrato o ii) certificación emitida por la Entidad Estatal, donde acredite que para subcontratar no s</w:t>
      </w:r>
      <w:r>
        <w:rPr>
          <w:color w:val="000000"/>
        </w:rPr>
        <w:t>e requería autorización.</w:t>
      </w:r>
    </w:p>
    <w:p w:rsidR="00522688" w:rsidRDefault="00522688"/>
    <w:p w:rsidR="00522688" w:rsidRDefault="004E4FBB">
      <w:pPr>
        <w:pBdr>
          <w:top w:val="nil"/>
          <w:left w:val="nil"/>
          <w:bottom w:val="nil"/>
          <w:right w:val="nil"/>
          <w:between w:val="nil"/>
        </w:pBdr>
        <w:ind w:left="1134"/>
        <w:rPr>
          <w:color w:val="000000"/>
        </w:rPr>
      </w:pPr>
      <w:r>
        <w:rPr>
          <w:color w:val="000000"/>
        </w:rPr>
        <w:t xml:space="preserve">La información solicitada en el literal B únicamente se exige en relación con el contrato principal suscrito con la Entidad Estatal.  </w:t>
      </w:r>
    </w:p>
    <w:p w:rsidR="00522688" w:rsidRDefault="00522688"/>
    <w:p w:rsidR="00522688" w:rsidRDefault="004E4FBB">
      <w:r>
        <w:t>En caso de que se presenten varios niveles de subcontratación, las reglas de los literales A y B aplicarán hasta el primer nivel de subcontratación. Para los siguientes niveles de subcontratación, la acreditación de la experiencia se realizará con las disp</w:t>
      </w:r>
      <w:r>
        <w:t xml:space="preserve">osiciones establecidas en el numeral anterior. Para estos efectos, entiéndase el primer nivel de subcontratación como aquel contrato suscrito entre particulares, cuyo contrato principal del cual se deriva directamente, es el contrato estatal firmado entre </w:t>
      </w:r>
      <w:r>
        <w:t>una Entidad Estatal y un particular.</w:t>
      </w:r>
    </w:p>
    <w:p w:rsidR="00522688" w:rsidRDefault="00522688"/>
    <w:p w:rsidR="00522688" w:rsidRDefault="004E4FBB">
      <w:r>
        <w:t>Cuando el contratista directo y el subcontratista presenten ofertas en un mismo Proceso de Contratación, la experiencia derivada de las actividades subcontratadas solo pertenecerá al subcontratista. En este contexto, el contratista directo no podrá acredit</w:t>
      </w:r>
      <w:r>
        <w:t xml:space="preserve">ar dichas actividades, por lo que no serían tenidas en cuenta para la verificación de la experiencia. </w:t>
      </w:r>
    </w:p>
    <w:p w:rsidR="00522688" w:rsidRDefault="00522688"/>
    <w:p w:rsidR="00522688" w:rsidRDefault="004E4FBB">
      <w:r>
        <w:t>Los Proponentes deberán advertir a la Entidad cuando en otros procesos el contratista directo hubiera certificado que, dentro de su contrato, se llevó a</w:t>
      </w:r>
      <w:r>
        <w:t xml:space="preserve"> cabo la subcontratación, por cuanto tales actividades no serán tenidas en cuenta para efectos de acreditación de la experiencia del contratista directo. Para tal fin, deberán informar a la Entidad, mediante comunicación escrita, indicando el proceso en el</w:t>
      </w:r>
      <w:r>
        <w:t xml:space="preserve"> cual el contratista certificó la respectiva subcontratación.</w:t>
      </w:r>
    </w:p>
    <w:p w:rsidR="00522688" w:rsidRDefault="00522688"/>
    <w:p w:rsidR="00522688" w:rsidRDefault="004E4FBB">
      <w:r>
        <w:t>La obligación de informar las situaciones de subcontratación estará en cabeza de los Proponentes y de ninguna manera dicha carga será de la Entidad. En aquellos casos en los que el Proponente n</w:t>
      </w:r>
      <w:r>
        <w:t>o advierta tal situación, la Entidad no tendrá responsabilidad alguna por cuanto no fue avisada. En ese caso, el contrato se contabilizará como un todo y no se tendrá en cuenta lo relacionado con la subcontratación.</w:t>
      </w:r>
    </w:p>
    <w:p w:rsidR="00522688" w:rsidRDefault="00522688"/>
    <w:p w:rsidR="00522688" w:rsidRDefault="004E4FBB">
      <w:r>
        <w:lastRenderedPageBreak/>
        <w:t>Cuando la Entidad haya sido advertida p</w:t>
      </w:r>
      <w:r>
        <w:t>or alguno los Proponentes sobre situaciones de subcontratación, aplicará el numeral 1.11 del Pliego de Condiciones</w:t>
      </w:r>
    </w:p>
    <w:p w:rsidR="00522688" w:rsidRDefault="00522688"/>
    <w:p w:rsidR="00522688" w:rsidRDefault="004E4FBB">
      <w:pPr>
        <w:pStyle w:val="Ttulo2"/>
        <w:numPr>
          <w:ilvl w:val="1"/>
          <w:numId w:val="15"/>
        </w:numPr>
        <w:ind w:left="709" w:hanging="709"/>
      </w:pPr>
      <w:bookmarkStart w:id="91" w:name="_heading=h.319y80a" w:colFirst="0" w:colLast="0"/>
      <w:bookmarkEnd w:id="91"/>
      <w:r>
        <w:t>ACREDITACIÓN DE EXPERIENCIA Y FORMACIÓN ACADÉMICA DEL EQUIPO DE TRABAJO Y DEL PERSONAL CLAVE EVALUABLE</w:t>
      </w:r>
    </w:p>
    <w:p w:rsidR="00522688" w:rsidRDefault="00522688"/>
    <w:p w:rsidR="00522688" w:rsidRDefault="004E4FBB">
      <w:r>
        <w:t>Las condiciones de formación académi</w:t>
      </w:r>
      <w:r>
        <w:t xml:space="preserve">ca y experiencia de los perfiles del personal integrante del equipo de trabajo que se denomina como Personal Clave Evaluable en el documento denominado “Anexo 1 – Anexo Técnico” del presente Proceso de Contratación serán verificados para </w:t>
      </w:r>
      <w:r>
        <w:rPr>
          <w:highlight w:val="lightGray"/>
        </w:rPr>
        <w:t>[la Entidad defini</w:t>
      </w:r>
      <w:r>
        <w:rPr>
          <w:highlight w:val="lightGray"/>
        </w:rPr>
        <w:t>rá si la verificación del personal clave será un requisito para la ejecución del contrato o para otro momento que la Entidad disponga con posterior a la celebración del contrato, lo cual deberá mencionar claramente]</w:t>
      </w:r>
      <w:r>
        <w:t>, por tal motivo, no serán verificados du</w:t>
      </w:r>
      <w:r>
        <w:t xml:space="preserve">rante el desarrollo del Proceso de Contratación. </w:t>
      </w:r>
    </w:p>
    <w:p w:rsidR="00522688" w:rsidRDefault="00522688"/>
    <w:p w:rsidR="00522688" w:rsidRDefault="004E4FBB">
      <w:r>
        <w:t>La verificación de los soportes académicos y de experiencia del Personal Clave Evaluable se realizará de acuerdo con lo previsto en los siguientes numerales:</w:t>
      </w:r>
    </w:p>
    <w:p w:rsidR="00522688" w:rsidRDefault="00522688"/>
    <w:p w:rsidR="00522688" w:rsidRDefault="004E4FBB">
      <w:pPr>
        <w:pStyle w:val="Ttulo2"/>
        <w:numPr>
          <w:ilvl w:val="2"/>
          <w:numId w:val="15"/>
        </w:numPr>
      </w:pPr>
      <w:bookmarkStart w:id="92" w:name="_heading=h.1gf8i83" w:colFirst="0" w:colLast="0"/>
      <w:bookmarkEnd w:id="92"/>
      <w:r>
        <w:t xml:space="preserve">DISPOSICIONES GENERALES PARA LA VALIDEZ DE LA </w:t>
      </w:r>
      <w:r>
        <w:t>EXPERIENCIA DEL EQUIPO DE TRABAJO Y DEL PERSONAL CLAVE EVALUABLE</w:t>
      </w:r>
    </w:p>
    <w:p w:rsidR="00522688" w:rsidRDefault="00522688"/>
    <w:p w:rsidR="00522688" w:rsidRDefault="004E4FBB">
      <w:r>
        <w:t>La Entidad tendrá en cuenta los siguientes aspectos para analizar la experiencia acreditada y que la misma sea válida una vez celebrado el contrato de consultoría:</w:t>
      </w:r>
    </w:p>
    <w:p w:rsidR="00522688" w:rsidRDefault="00522688"/>
    <w:p w:rsidR="00522688" w:rsidRDefault="004E4FBB">
      <w:r>
        <w:t>La experiencia profesiona</w:t>
      </w:r>
      <w:r>
        <w:t>l se computará a partir de la terminación y aprobación del pensum académico, salvo en los casos que se realicen prácticas laborales para obtener el título profesional o tecnólogo. El tiempo de experiencia en la práctica es válido si se realizan durante los</w:t>
      </w:r>
      <w:r>
        <w:t xml:space="preserve"> veinticuatro (24) meses anteriores a la expedición de la Ley 1955 de 2019 o con posterioridad a su expedición. Es decir, la práctica realizada antes de la terminación de materias contará como experiencia profesional si se cumplen los criterios mencionados</w:t>
      </w:r>
      <w:r>
        <w:t>.</w:t>
      </w:r>
    </w:p>
    <w:p w:rsidR="00522688" w:rsidRDefault="00522688"/>
    <w:p w:rsidR="00522688" w:rsidRDefault="004E4FBB">
      <w:r>
        <w:t xml:space="preserve">Para el cómputo de la experiencia se aportará alguno de los siguientes documentos dependiendo de la fecha desde que el Proponente pretenda acreditar la experiencia profesional de su equipo de trabajo: </w:t>
      </w:r>
    </w:p>
    <w:p w:rsidR="00522688" w:rsidRDefault="00522688"/>
    <w:p w:rsidR="00522688" w:rsidRDefault="004E4FBB">
      <w:pPr>
        <w:numPr>
          <w:ilvl w:val="0"/>
          <w:numId w:val="40"/>
        </w:numPr>
        <w:pBdr>
          <w:top w:val="nil"/>
          <w:left w:val="nil"/>
          <w:bottom w:val="nil"/>
          <w:right w:val="nil"/>
          <w:between w:val="nil"/>
        </w:pBdr>
        <w:ind w:left="709" w:hanging="349"/>
        <w:rPr>
          <w:color w:val="000000"/>
        </w:rPr>
      </w:pPr>
      <w:r>
        <w:rPr>
          <w:color w:val="000000"/>
        </w:rPr>
        <w:t xml:space="preserve">El certificado de la entidad beneficiaria en los términos del artículo 6 de la Ley 2043 de 2020, cuando se trate de práctica profesional; </w:t>
      </w:r>
    </w:p>
    <w:p w:rsidR="00522688" w:rsidRDefault="004E4FBB">
      <w:pPr>
        <w:numPr>
          <w:ilvl w:val="0"/>
          <w:numId w:val="40"/>
        </w:numPr>
        <w:pBdr>
          <w:top w:val="nil"/>
          <w:left w:val="nil"/>
          <w:bottom w:val="nil"/>
          <w:right w:val="nil"/>
          <w:between w:val="nil"/>
        </w:pBdr>
        <w:ind w:left="709" w:hanging="349"/>
        <w:rPr>
          <w:color w:val="000000"/>
        </w:rPr>
      </w:pPr>
      <w:r>
        <w:rPr>
          <w:color w:val="000000"/>
        </w:rPr>
        <w:t xml:space="preserve">El certificado de terminación o aprobación del pensum académico. </w:t>
      </w:r>
    </w:p>
    <w:p w:rsidR="00522688" w:rsidRDefault="004E4FBB">
      <w:pPr>
        <w:numPr>
          <w:ilvl w:val="0"/>
          <w:numId w:val="40"/>
        </w:numPr>
        <w:pBdr>
          <w:top w:val="nil"/>
          <w:left w:val="nil"/>
          <w:bottom w:val="nil"/>
          <w:right w:val="nil"/>
          <w:between w:val="nil"/>
        </w:pBdr>
        <w:ind w:left="709" w:hanging="349"/>
        <w:rPr>
          <w:color w:val="000000"/>
        </w:rPr>
      </w:pPr>
      <w:r>
        <w:rPr>
          <w:color w:val="000000"/>
        </w:rPr>
        <w:t xml:space="preserve">En el evento que el oferente no entregue alguno de </w:t>
      </w:r>
      <w:r>
        <w:rPr>
          <w:color w:val="000000"/>
        </w:rPr>
        <w:t>estos, la Entidad contará la experiencia profesional a partir de la expedición del acta de grado o el diploma, el cual debe ser aportado.</w:t>
      </w:r>
    </w:p>
    <w:p w:rsidR="00522688" w:rsidRDefault="004E4FBB">
      <w:pPr>
        <w:numPr>
          <w:ilvl w:val="0"/>
          <w:numId w:val="40"/>
        </w:numPr>
        <w:pBdr>
          <w:top w:val="nil"/>
          <w:left w:val="nil"/>
          <w:bottom w:val="nil"/>
          <w:right w:val="nil"/>
          <w:between w:val="nil"/>
        </w:pBdr>
        <w:ind w:left="709" w:hanging="349"/>
        <w:rPr>
          <w:color w:val="000000"/>
        </w:rPr>
      </w:pPr>
      <w:r>
        <w:rPr>
          <w:color w:val="000000"/>
        </w:rPr>
        <w:t>La contabilización de la experiencia se realizará en años. En caso de que el año no esté completo se realizará la conv</w:t>
      </w:r>
      <w:r>
        <w:rPr>
          <w:color w:val="000000"/>
        </w:rPr>
        <w:t>ersión de meses o días a años.</w:t>
      </w:r>
    </w:p>
    <w:p w:rsidR="00522688" w:rsidRDefault="00522688"/>
    <w:p w:rsidR="00522688" w:rsidRDefault="004E4FBB">
      <w:pPr>
        <w:pStyle w:val="Ttulo2"/>
        <w:numPr>
          <w:ilvl w:val="2"/>
          <w:numId w:val="15"/>
        </w:numPr>
      </w:pPr>
      <w:bookmarkStart w:id="93" w:name="_heading=h.40ew0vw" w:colFirst="0" w:colLast="0"/>
      <w:bookmarkEnd w:id="93"/>
      <w:r>
        <w:t>DOCUMENTOS SOPORTE VÁLIDOS PARA ACREDITAR LA EXPERIENCIA DEL EQUIPO DE TRABAJO Y EL PERSONAL CLAVE EVALUABLE</w:t>
      </w:r>
    </w:p>
    <w:p w:rsidR="00522688" w:rsidRDefault="00522688"/>
    <w:p w:rsidR="00522688" w:rsidRDefault="004E4FBB">
      <w:r>
        <w:t xml:space="preserve">Los integrantes del equipo de trabajo una vez celebrado el contrato derivado del Proceso de Contratación, y según </w:t>
      </w:r>
      <w:r>
        <w:t>la instancia definida por la Entidad para verificar los documentos soporte, deberán acreditar la experiencia del Personal Clave Evaluable según los documentos aquí descritos, o la combinación de estos. En caso de existir discrepancias entre dos (2) o más d</w:t>
      </w:r>
      <w:r>
        <w:t xml:space="preserve">ocumentos aportados por el Consultor, se tendrá en cuenta el orden de prevalencia establecido a continuación: </w:t>
      </w:r>
    </w:p>
    <w:p w:rsidR="00522688" w:rsidRDefault="00522688"/>
    <w:p w:rsidR="00522688" w:rsidRDefault="004E4FBB">
      <w:pPr>
        <w:numPr>
          <w:ilvl w:val="0"/>
          <w:numId w:val="41"/>
        </w:numPr>
        <w:pBdr>
          <w:top w:val="nil"/>
          <w:left w:val="nil"/>
          <w:bottom w:val="nil"/>
          <w:right w:val="nil"/>
          <w:between w:val="nil"/>
        </w:pBdr>
        <w:rPr>
          <w:color w:val="000000"/>
        </w:rPr>
      </w:pPr>
      <w:r>
        <w:rPr>
          <w:color w:val="000000"/>
        </w:rPr>
        <w:t xml:space="preserve">Certificados laborales o de ejecución de su experiencia profesional. </w:t>
      </w:r>
    </w:p>
    <w:p w:rsidR="00522688" w:rsidRDefault="004E4FBB">
      <w:pPr>
        <w:numPr>
          <w:ilvl w:val="0"/>
          <w:numId w:val="41"/>
        </w:numPr>
        <w:pBdr>
          <w:top w:val="nil"/>
          <w:left w:val="nil"/>
          <w:bottom w:val="nil"/>
          <w:right w:val="nil"/>
          <w:between w:val="nil"/>
        </w:pBdr>
        <w:rPr>
          <w:color w:val="000000"/>
        </w:rPr>
      </w:pPr>
      <w:r>
        <w:rPr>
          <w:color w:val="000000"/>
        </w:rPr>
        <w:lastRenderedPageBreak/>
        <w:t>Actas de liquidación o actas de terminación de los contratos, en caso de a</w:t>
      </w:r>
      <w:r>
        <w:rPr>
          <w:color w:val="000000"/>
        </w:rPr>
        <w:t xml:space="preserve">plicar. </w:t>
      </w:r>
    </w:p>
    <w:p w:rsidR="00522688" w:rsidRDefault="004E4FBB">
      <w:pPr>
        <w:numPr>
          <w:ilvl w:val="0"/>
          <w:numId w:val="41"/>
        </w:numPr>
        <w:pBdr>
          <w:top w:val="nil"/>
          <w:left w:val="nil"/>
          <w:bottom w:val="nil"/>
          <w:right w:val="nil"/>
          <w:between w:val="nil"/>
        </w:pBdr>
        <w:rPr>
          <w:color w:val="000000"/>
        </w:rPr>
      </w:pPr>
      <w:r>
        <w:rPr>
          <w:color w:val="000000"/>
        </w:rPr>
        <w:t xml:space="preserve">Copia de los contratos en los cuales laboró o ejerció las actividades respectivas. </w:t>
      </w:r>
    </w:p>
    <w:p w:rsidR="00522688" w:rsidRDefault="004E4FBB">
      <w:pPr>
        <w:numPr>
          <w:ilvl w:val="0"/>
          <w:numId w:val="41"/>
        </w:numPr>
        <w:pBdr>
          <w:top w:val="nil"/>
          <w:left w:val="nil"/>
          <w:bottom w:val="nil"/>
          <w:right w:val="nil"/>
          <w:between w:val="nil"/>
        </w:pBdr>
        <w:rPr>
          <w:color w:val="000000"/>
        </w:rPr>
      </w:pPr>
      <w:r>
        <w:rPr>
          <w:color w:val="000000"/>
        </w:rPr>
        <w:t>Copia de las resoluciones de nombramiento y de posesión para cargos públicos.</w:t>
      </w:r>
    </w:p>
    <w:p w:rsidR="00522688" w:rsidRDefault="00522688"/>
    <w:p w:rsidR="00522688" w:rsidRDefault="004E4FBB">
      <w:r>
        <w:t>Mediante los documentos anteriores, se deberá acreditar, como mínimo, la siguiente i</w:t>
      </w:r>
      <w:r>
        <w:t xml:space="preserve">nformación: </w:t>
      </w:r>
    </w:p>
    <w:p w:rsidR="00522688" w:rsidRDefault="00522688"/>
    <w:p w:rsidR="00522688" w:rsidRDefault="004E4FBB">
      <w:pPr>
        <w:numPr>
          <w:ilvl w:val="0"/>
          <w:numId w:val="39"/>
        </w:numPr>
        <w:pBdr>
          <w:top w:val="nil"/>
          <w:left w:val="nil"/>
          <w:bottom w:val="nil"/>
          <w:right w:val="nil"/>
          <w:between w:val="nil"/>
        </w:pBdr>
        <w:rPr>
          <w:color w:val="000000"/>
        </w:rPr>
      </w:pPr>
      <w:r>
        <w:rPr>
          <w:color w:val="000000"/>
        </w:rPr>
        <w:t>Contratante.</w:t>
      </w:r>
    </w:p>
    <w:p w:rsidR="00522688" w:rsidRDefault="004E4FBB">
      <w:pPr>
        <w:numPr>
          <w:ilvl w:val="0"/>
          <w:numId w:val="39"/>
        </w:numPr>
        <w:pBdr>
          <w:top w:val="nil"/>
          <w:left w:val="nil"/>
          <w:bottom w:val="nil"/>
          <w:right w:val="nil"/>
          <w:between w:val="nil"/>
        </w:pBdr>
        <w:rPr>
          <w:color w:val="000000"/>
        </w:rPr>
      </w:pPr>
      <w:r>
        <w:rPr>
          <w:color w:val="000000"/>
        </w:rPr>
        <w:t>Contratista.</w:t>
      </w:r>
    </w:p>
    <w:p w:rsidR="00522688" w:rsidRDefault="004E4FBB">
      <w:pPr>
        <w:numPr>
          <w:ilvl w:val="0"/>
          <w:numId w:val="39"/>
        </w:numPr>
        <w:pBdr>
          <w:top w:val="nil"/>
          <w:left w:val="nil"/>
          <w:bottom w:val="nil"/>
          <w:right w:val="nil"/>
          <w:between w:val="nil"/>
        </w:pBdr>
        <w:rPr>
          <w:color w:val="000000"/>
        </w:rPr>
      </w:pPr>
      <w:r>
        <w:rPr>
          <w:color w:val="000000"/>
        </w:rPr>
        <w:t>Objeto del contrato.</w:t>
      </w:r>
    </w:p>
    <w:p w:rsidR="00522688" w:rsidRDefault="004E4FBB">
      <w:pPr>
        <w:numPr>
          <w:ilvl w:val="0"/>
          <w:numId w:val="39"/>
        </w:numPr>
        <w:pBdr>
          <w:top w:val="nil"/>
          <w:left w:val="nil"/>
          <w:bottom w:val="nil"/>
          <w:right w:val="nil"/>
          <w:between w:val="nil"/>
        </w:pBdr>
        <w:rPr>
          <w:color w:val="000000"/>
        </w:rPr>
      </w:pPr>
      <w:r>
        <w:rPr>
          <w:color w:val="000000"/>
        </w:rPr>
        <w:t xml:space="preserve">Principales actividades u obligaciones desarrolladas. </w:t>
      </w:r>
    </w:p>
    <w:p w:rsidR="00522688" w:rsidRDefault="004E4FBB">
      <w:pPr>
        <w:numPr>
          <w:ilvl w:val="0"/>
          <w:numId w:val="39"/>
        </w:numPr>
        <w:pBdr>
          <w:top w:val="nil"/>
          <w:left w:val="nil"/>
          <w:bottom w:val="nil"/>
          <w:right w:val="nil"/>
          <w:between w:val="nil"/>
        </w:pBdr>
        <w:rPr>
          <w:color w:val="000000"/>
        </w:rPr>
      </w:pPr>
      <w:r>
        <w:rPr>
          <w:color w:val="000000"/>
        </w:rPr>
        <w:t xml:space="preserve">La fecha de iniciación de la ejecución del Contrato. </w:t>
      </w:r>
    </w:p>
    <w:p w:rsidR="00522688" w:rsidRDefault="004E4FBB">
      <w:pPr>
        <w:numPr>
          <w:ilvl w:val="0"/>
          <w:numId w:val="39"/>
        </w:numPr>
        <w:pBdr>
          <w:top w:val="nil"/>
          <w:left w:val="nil"/>
          <w:bottom w:val="nil"/>
          <w:right w:val="nil"/>
          <w:between w:val="nil"/>
        </w:pBdr>
        <w:rPr>
          <w:color w:val="000000"/>
        </w:rPr>
      </w:pPr>
      <w:r>
        <w:rPr>
          <w:color w:val="000000"/>
        </w:rPr>
        <w:t xml:space="preserve">La fecha de terminación de la ejecución del Contrato. </w:t>
      </w:r>
    </w:p>
    <w:p w:rsidR="00522688" w:rsidRDefault="004E4FBB">
      <w:pPr>
        <w:numPr>
          <w:ilvl w:val="0"/>
          <w:numId w:val="39"/>
        </w:numPr>
        <w:pBdr>
          <w:top w:val="nil"/>
          <w:left w:val="nil"/>
          <w:bottom w:val="nil"/>
          <w:right w:val="nil"/>
          <w:between w:val="nil"/>
        </w:pBdr>
        <w:rPr>
          <w:color w:val="000000"/>
        </w:rPr>
      </w:pPr>
      <w:r>
        <w:rPr>
          <w:color w:val="000000"/>
        </w:rPr>
        <w:t xml:space="preserve">Nombre y cargo de la persona que expide la certificación. </w:t>
      </w:r>
    </w:p>
    <w:p w:rsidR="00522688" w:rsidRDefault="004E4FBB">
      <w:pPr>
        <w:numPr>
          <w:ilvl w:val="0"/>
          <w:numId w:val="39"/>
        </w:numPr>
        <w:pBdr>
          <w:top w:val="nil"/>
          <w:left w:val="nil"/>
          <w:bottom w:val="nil"/>
          <w:right w:val="nil"/>
          <w:between w:val="nil"/>
        </w:pBdr>
        <w:rPr>
          <w:color w:val="000000"/>
        </w:rPr>
      </w:pPr>
      <w:r>
        <w:rPr>
          <w:color w:val="000000"/>
        </w:rPr>
        <w:t>Porcentaje de dedicación para el cargo respectivo. En caso tal de no existir la discriminación del porcentaje de dedicación se tomará como el 100% de dedicación.</w:t>
      </w:r>
    </w:p>
    <w:p w:rsidR="00522688" w:rsidRDefault="00522688"/>
    <w:p w:rsidR="00522688" w:rsidRDefault="004E4FBB">
      <w:r>
        <w:t>La contabilización de la experienc</w:t>
      </w:r>
      <w:r>
        <w:t xml:space="preserve">ia se realizará en años. En caso de que el año no esté completo se realizará la conversión de meses o días a años. </w:t>
      </w:r>
    </w:p>
    <w:p w:rsidR="00522688" w:rsidRDefault="00522688"/>
    <w:p w:rsidR="00522688" w:rsidRDefault="004E4FBB">
      <w:r>
        <w:t>Se tendrá en cuenta el primer decimal del cálculo de la experiencia específica, para tales efectos, se realizará la aproximación por defect</w:t>
      </w:r>
      <w:r>
        <w:t>o o por exceso hasta la primera cifra decimal.</w:t>
      </w:r>
    </w:p>
    <w:p w:rsidR="00522688" w:rsidRDefault="00522688"/>
    <w:p w:rsidR="00522688" w:rsidRDefault="004E4FBB">
      <w:pPr>
        <w:pStyle w:val="Ttulo2"/>
        <w:numPr>
          <w:ilvl w:val="2"/>
          <w:numId w:val="15"/>
        </w:numPr>
      </w:pPr>
      <w:bookmarkStart w:id="94" w:name="_heading=h.2fk6b3p" w:colFirst="0" w:colLast="0"/>
      <w:bookmarkEnd w:id="94"/>
      <w:r>
        <w:t>ACREDITACIÓN DE LA FORMACIÓN ACADÉMICA DEL EQUIPO DE TRABAJO Y EL PERSONAL CLAVE EVALUABLE</w:t>
      </w:r>
    </w:p>
    <w:p w:rsidR="00522688" w:rsidRDefault="00522688"/>
    <w:p w:rsidR="00522688" w:rsidRDefault="004E4FBB">
      <w:r>
        <w:t>Para acreditar la formación académica de los integrantes del equipo de trabajo se aportarán los siguientes documento</w:t>
      </w:r>
      <w:r>
        <w:t xml:space="preserve">s: i) copia del acta de grado o del diploma de grado y ii) copia de la tarjeta profesional o de la matrícula profesional en los casos en que aplique y su certificado de antecedentes profesionales. El requisito de la tarjeta profesional se puede suplir con </w:t>
      </w:r>
      <w:r>
        <w:t xml:space="preserve">el registro de que trata el artículo 18 del Decreto 2106 de 2019. </w:t>
      </w:r>
    </w:p>
    <w:p w:rsidR="00522688" w:rsidRDefault="004E4FBB">
      <w:r>
        <w:t xml:space="preserve"> </w:t>
      </w:r>
    </w:p>
    <w:p w:rsidR="00522688" w:rsidRDefault="004E4FBB">
      <w:r>
        <w:t>Por otro lado, el Proponente que ofrezca personal con títulos académicos otorgados en el exterior deberá acreditar la convalidación de estos títulos en Colombia ante el Ministerio de Educ</w:t>
      </w:r>
      <w:r>
        <w:t xml:space="preserve">ación Nacional. En este sentido, para probar los títulos académicos conseguidos en el exterior se requiere presentar la Resolución expedida por el Ministerio de Educación Nacional que convalida el título obtenido en el exterior.  </w:t>
      </w:r>
    </w:p>
    <w:p w:rsidR="00522688" w:rsidRDefault="00522688"/>
    <w:p w:rsidR="00522688" w:rsidRDefault="00522688"/>
    <w:p w:rsidR="00522688" w:rsidRDefault="00522688"/>
    <w:p w:rsidR="00522688" w:rsidRDefault="00522688"/>
    <w:p w:rsidR="00522688" w:rsidRDefault="00522688"/>
    <w:p w:rsidR="00522688" w:rsidRDefault="00522688"/>
    <w:p w:rsidR="00522688" w:rsidRDefault="00522688"/>
    <w:p w:rsidR="00522688" w:rsidRDefault="004E4FBB">
      <w:pPr>
        <w:spacing w:after="160" w:line="259" w:lineRule="auto"/>
        <w:jc w:val="left"/>
        <w:rPr>
          <w:b/>
          <w:sz w:val="22"/>
          <w:szCs w:val="22"/>
        </w:rPr>
      </w:pPr>
      <w:r>
        <w:br w:type="page"/>
      </w:r>
    </w:p>
    <w:p w:rsidR="00522688" w:rsidRDefault="004E4FBB">
      <w:pPr>
        <w:pStyle w:val="Ttulo1"/>
        <w:numPr>
          <w:ilvl w:val="0"/>
          <w:numId w:val="14"/>
        </w:numPr>
        <w:ind w:left="1531" w:firstLine="0"/>
      </w:pPr>
      <w:bookmarkStart w:id="95" w:name="_heading=h.upglbi" w:colFirst="0" w:colLast="0"/>
      <w:bookmarkEnd w:id="95"/>
      <w:r>
        <w:lastRenderedPageBreak/>
        <w:t>LISTADO DE ANEXOS, FORMATOS, MATRICES Y FORMULARIOS</w:t>
      </w:r>
    </w:p>
    <w:p w:rsidR="00522688" w:rsidRDefault="00522688"/>
    <w:p w:rsidR="00522688" w:rsidRDefault="00522688"/>
    <w:p w:rsidR="00522688" w:rsidRDefault="004E4FBB">
      <w:pPr>
        <w:pStyle w:val="Ttulo2"/>
        <w:numPr>
          <w:ilvl w:val="1"/>
          <w:numId w:val="35"/>
        </w:numPr>
      </w:pPr>
      <w:bookmarkStart w:id="96" w:name="_heading=h.3ep43zb" w:colFirst="0" w:colLast="0"/>
      <w:bookmarkEnd w:id="96"/>
      <w:r>
        <w:t>ANEXOS</w:t>
      </w:r>
    </w:p>
    <w:p w:rsidR="00522688" w:rsidRDefault="00522688"/>
    <w:p w:rsidR="00522688" w:rsidRDefault="004E4FBB">
      <w:pPr>
        <w:numPr>
          <w:ilvl w:val="0"/>
          <w:numId w:val="11"/>
        </w:numPr>
        <w:pBdr>
          <w:top w:val="nil"/>
          <w:left w:val="nil"/>
          <w:bottom w:val="nil"/>
          <w:right w:val="nil"/>
          <w:between w:val="nil"/>
        </w:pBdr>
        <w:ind w:left="709" w:hanging="567"/>
        <w:rPr>
          <w:color w:val="000000"/>
        </w:rPr>
      </w:pPr>
      <w:r>
        <w:rPr>
          <w:color w:val="000000"/>
        </w:rPr>
        <w:t>Anexo 1 – Anexo Técnico</w:t>
      </w:r>
    </w:p>
    <w:p w:rsidR="00522688" w:rsidRDefault="004E4FBB">
      <w:pPr>
        <w:numPr>
          <w:ilvl w:val="0"/>
          <w:numId w:val="11"/>
        </w:numPr>
        <w:pBdr>
          <w:top w:val="nil"/>
          <w:left w:val="nil"/>
          <w:bottom w:val="nil"/>
          <w:right w:val="nil"/>
          <w:between w:val="nil"/>
        </w:pBdr>
        <w:ind w:left="709" w:hanging="567"/>
        <w:rPr>
          <w:color w:val="000000"/>
        </w:rPr>
      </w:pPr>
      <w:r>
        <w:rPr>
          <w:color w:val="000000"/>
        </w:rPr>
        <w:t>Anexo 2 – Cronograma</w:t>
      </w:r>
    </w:p>
    <w:p w:rsidR="00522688" w:rsidRDefault="004E4FBB">
      <w:pPr>
        <w:numPr>
          <w:ilvl w:val="0"/>
          <w:numId w:val="11"/>
        </w:numPr>
        <w:pBdr>
          <w:top w:val="nil"/>
          <w:left w:val="nil"/>
          <w:bottom w:val="nil"/>
          <w:right w:val="nil"/>
          <w:between w:val="nil"/>
        </w:pBdr>
        <w:ind w:left="709" w:hanging="567"/>
        <w:rPr>
          <w:color w:val="000000"/>
        </w:rPr>
      </w:pPr>
      <w:r>
        <w:rPr>
          <w:color w:val="000000"/>
        </w:rPr>
        <w:t>Anexo 3 – Glosario</w:t>
      </w:r>
    </w:p>
    <w:p w:rsidR="00522688" w:rsidRDefault="004E4FBB">
      <w:pPr>
        <w:numPr>
          <w:ilvl w:val="0"/>
          <w:numId w:val="11"/>
        </w:numPr>
        <w:pBdr>
          <w:top w:val="nil"/>
          <w:left w:val="nil"/>
          <w:bottom w:val="nil"/>
          <w:right w:val="nil"/>
          <w:between w:val="nil"/>
        </w:pBdr>
        <w:ind w:left="709" w:hanging="567"/>
        <w:rPr>
          <w:color w:val="000000"/>
        </w:rPr>
      </w:pPr>
      <w:r>
        <w:rPr>
          <w:color w:val="000000"/>
        </w:rPr>
        <w:t>Anexo 4 – Pacto de Transparencia</w:t>
      </w:r>
    </w:p>
    <w:p w:rsidR="00522688" w:rsidRDefault="004E4FBB">
      <w:pPr>
        <w:numPr>
          <w:ilvl w:val="0"/>
          <w:numId w:val="11"/>
        </w:numPr>
        <w:pBdr>
          <w:top w:val="nil"/>
          <w:left w:val="nil"/>
          <w:bottom w:val="nil"/>
          <w:right w:val="nil"/>
          <w:between w:val="nil"/>
        </w:pBdr>
        <w:ind w:left="709" w:hanging="567"/>
        <w:rPr>
          <w:color w:val="000000"/>
        </w:rPr>
      </w:pPr>
      <w:r>
        <w:rPr>
          <w:color w:val="000000"/>
        </w:rPr>
        <w:t>Anexo 5 – Minuta del Contrato</w:t>
      </w:r>
    </w:p>
    <w:p w:rsidR="00522688" w:rsidRDefault="004E4FBB">
      <w:pPr>
        <w:numPr>
          <w:ilvl w:val="0"/>
          <w:numId w:val="11"/>
        </w:numPr>
        <w:pBdr>
          <w:top w:val="nil"/>
          <w:left w:val="nil"/>
          <w:bottom w:val="nil"/>
          <w:right w:val="nil"/>
          <w:between w:val="nil"/>
        </w:pBdr>
        <w:ind w:left="709" w:hanging="567"/>
        <w:rPr>
          <w:color w:val="000000"/>
        </w:rPr>
      </w:pPr>
      <w:r>
        <w:rPr>
          <w:color w:val="000000"/>
        </w:rPr>
        <w:t>Anexo 6 – Reglamento de la audiencia de adjudicación</w:t>
      </w:r>
    </w:p>
    <w:p w:rsidR="00522688" w:rsidRDefault="00522688">
      <w:pPr>
        <w:pBdr>
          <w:top w:val="nil"/>
          <w:left w:val="nil"/>
          <w:bottom w:val="nil"/>
          <w:right w:val="nil"/>
          <w:between w:val="nil"/>
        </w:pBdr>
        <w:ind w:left="709"/>
        <w:rPr>
          <w:color w:val="000000"/>
        </w:rPr>
      </w:pPr>
    </w:p>
    <w:p w:rsidR="00522688" w:rsidRDefault="00522688"/>
    <w:p w:rsidR="00522688" w:rsidRDefault="004E4FBB">
      <w:pPr>
        <w:pStyle w:val="Ttulo2"/>
        <w:numPr>
          <w:ilvl w:val="1"/>
          <w:numId w:val="35"/>
        </w:numPr>
      </w:pPr>
      <w:bookmarkStart w:id="97" w:name="_heading=h.1tuee74" w:colFirst="0" w:colLast="0"/>
      <w:bookmarkEnd w:id="97"/>
      <w:r>
        <w:t>FORMATOS</w:t>
      </w:r>
    </w:p>
    <w:p w:rsidR="00522688" w:rsidRDefault="00522688"/>
    <w:p w:rsidR="00522688" w:rsidRDefault="004E4FBB">
      <w:pPr>
        <w:numPr>
          <w:ilvl w:val="0"/>
          <w:numId w:val="32"/>
        </w:numPr>
        <w:pBdr>
          <w:top w:val="nil"/>
          <w:left w:val="nil"/>
          <w:bottom w:val="nil"/>
          <w:right w:val="nil"/>
          <w:between w:val="nil"/>
        </w:pBdr>
        <w:ind w:left="709" w:hanging="567"/>
        <w:rPr>
          <w:color w:val="000000"/>
        </w:rPr>
      </w:pPr>
      <w:r>
        <w:rPr>
          <w:color w:val="000000"/>
        </w:rPr>
        <w:t>Formato 1 – Carta de presentación de la oferta</w:t>
      </w:r>
    </w:p>
    <w:p w:rsidR="00522688" w:rsidRDefault="004E4FBB">
      <w:pPr>
        <w:numPr>
          <w:ilvl w:val="0"/>
          <w:numId w:val="32"/>
        </w:numPr>
        <w:pBdr>
          <w:top w:val="nil"/>
          <w:left w:val="nil"/>
          <w:bottom w:val="nil"/>
          <w:right w:val="nil"/>
          <w:between w:val="nil"/>
        </w:pBdr>
        <w:ind w:left="709" w:hanging="567"/>
        <w:rPr>
          <w:color w:val="000000"/>
        </w:rPr>
      </w:pPr>
      <w:r>
        <w:rPr>
          <w:color w:val="000000"/>
        </w:rPr>
        <w:t xml:space="preserve">Formato 2 – Conformación de proponente plural (Formato 2A- Consorcios) (Formato 2B- UT) </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3 – Experiencia</w:t>
      </w:r>
    </w:p>
    <w:p w:rsidR="00522688" w:rsidRDefault="004E4FBB">
      <w:pPr>
        <w:numPr>
          <w:ilvl w:val="0"/>
          <w:numId w:val="32"/>
        </w:numPr>
        <w:pBdr>
          <w:top w:val="nil"/>
          <w:left w:val="nil"/>
          <w:bottom w:val="nil"/>
          <w:right w:val="nil"/>
          <w:between w:val="nil"/>
        </w:pBdr>
        <w:ind w:left="709" w:hanging="567"/>
        <w:rPr>
          <w:color w:val="000000"/>
        </w:rPr>
      </w:pPr>
      <w:r>
        <w:rPr>
          <w:color w:val="000000"/>
        </w:rPr>
        <w:t xml:space="preserve">Formato 4 – Capacidad financiera y organizacional para extranjeros </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5 – Pagos de segurid</w:t>
      </w:r>
      <w:r>
        <w:rPr>
          <w:color w:val="000000"/>
        </w:rPr>
        <w:t>ad social y aportes legales</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6 – Vinculación de personas con discapacidad</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7 – Puntaje de Industria Nacional</w:t>
      </w:r>
    </w:p>
    <w:p w:rsidR="00522688" w:rsidRDefault="004E4FBB">
      <w:pPr>
        <w:numPr>
          <w:ilvl w:val="0"/>
          <w:numId w:val="32"/>
        </w:numPr>
        <w:pBdr>
          <w:top w:val="nil"/>
          <w:left w:val="nil"/>
          <w:bottom w:val="nil"/>
          <w:right w:val="nil"/>
          <w:between w:val="nil"/>
        </w:pBdr>
        <w:ind w:left="709" w:hanging="567"/>
        <w:rPr>
          <w:color w:val="000000"/>
        </w:rPr>
      </w:pPr>
      <w:r>
        <w:rPr>
          <w:color w:val="000000"/>
        </w:rPr>
        <w:t xml:space="preserve">Formato 8 ‒ Aceptación y cumplimiento de la formación y experiencia del Personal Clave Evaluable </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9 – Experiencia y formación</w:t>
      </w:r>
      <w:r>
        <w:rPr>
          <w:color w:val="000000"/>
        </w:rPr>
        <w:t xml:space="preserve"> académica adicional del Personal Clave Evaluable </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10 – Factor de sostenibilidad</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11 – Factores de desempate</w:t>
      </w:r>
    </w:p>
    <w:p w:rsidR="00522688" w:rsidRDefault="004E4FBB">
      <w:pPr>
        <w:numPr>
          <w:ilvl w:val="0"/>
          <w:numId w:val="32"/>
        </w:numPr>
        <w:pBdr>
          <w:top w:val="nil"/>
          <w:left w:val="nil"/>
          <w:bottom w:val="nil"/>
          <w:right w:val="nil"/>
          <w:between w:val="nil"/>
        </w:pBdr>
        <w:ind w:left="709" w:hanging="567"/>
        <w:rPr>
          <w:color w:val="000000"/>
        </w:rPr>
      </w:pPr>
      <w:r>
        <w:rPr>
          <w:color w:val="000000"/>
        </w:rPr>
        <w:t xml:space="preserve">Formato 12 – Autorización para el tratamiento de datos personales </w:t>
      </w:r>
    </w:p>
    <w:p w:rsidR="00522688" w:rsidRDefault="004E4FBB">
      <w:pPr>
        <w:numPr>
          <w:ilvl w:val="0"/>
          <w:numId w:val="32"/>
        </w:numPr>
        <w:pBdr>
          <w:top w:val="nil"/>
          <w:left w:val="nil"/>
          <w:bottom w:val="nil"/>
          <w:right w:val="nil"/>
          <w:between w:val="nil"/>
        </w:pBdr>
        <w:ind w:left="709" w:hanging="567"/>
        <w:rPr>
          <w:color w:val="000000"/>
        </w:rPr>
      </w:pPr>
      <w:r>
        <w:rPr>
          <w:color w:val="000000"/>
        </w:rPr>
        <w:t>Formato 13 – Acreditación de emprendimientos y empresas de mujeres</w:t>
      </w:r>
    </w:p>
    <w:p w:rsidR="00522688" w:rsidRDefault="004E4FBB">
      <w:pPr>
        <w:numPr>
          <w:ilvl w:val="0"/>
          <w:numId w:val="32"/>
        </w:numPr>
        <w:pBdr>
          <w:top w:val="nil"/>
          <w:left w:val="nil"/>
          <w:bottom w:val="nil"/>
          <w:right w:val="nil"/>
          <w:between w:val="nil"/>
        </w:pBdr>
        <w:ind w:left="709" w:hanging="567"/>
        <w:rPr>
          <w:color w:val="000000"/>
        </w:rPr>
      </w:pPr>
      <w:sdt>
        <w:sdtPr>
          <w:tag w:val="goog_rdk_0"/>
          <w:id w:val="1726417642"/>
        </w:sdtPr>
        <w:sdtEndPr/>
        <w:sdtContent>
          <w:r>
            <w:rPr>
              <w:rFonts w:ascii="Arial Unicode MS" w:eastAsia="Arial Unicode MS" w:hAnsi="Arial Unicode MS" w:cs="Arial Unicode MS"/>
              <w:color w:val="000000"/>
            </w:rPr>
            <w:t>Formato 14 − Acreditación de Mipyme</w:t>
          </w:r>
        </w:sdtContent>
      </w:sdt>
    </w:p>
    <w:p w:rsidR="00522688" w:rsidRDefault="00522688"/>
    <w:p w:rsidR="00522688" w:rsidRDefault="004E4FBB">
      <w:pPr>
        <w:pStyle w:val="Ttulo2"/>
        <w:numPr>
          <w:ilvl w:val="1"/>
          <w:numId w:val="35"/>
        </w:numPr>
      </w:pPr>
      <w:bookmarkStart w:id="98" w:name="_heading=h.4du1wux" w:colFirst="0" w:colLast="0"/>
      <w:bookmarkEnd w:id="98"/>
      <w:r>
        <w:t>MATRICES</w:t>
      </w:r>
    </w:p>
    <w:p w:rsidR="00522688" w:rsidRDefault="00522688"/>
    <w:p w:rsidR="00522688" w:rsidRDefault="004E4FBB">
      <w:pPr>
        <w:numPr>
          <w:ilvl w:val="0"/>
          <w:numId w:val="34"/>
        </w:numPr>
        <w:pBdr>
          <w:top w:val="nil"/>
          <w:left w:val="nil"/>
          <w:bottom w:val="nil"/>
          <w:right w:val="nil"/>
          <w:between w:val="nil"/>
        </w:pBdr>
        <w:ind w:left="709" w:hanging="567"/>
        <w:rPr>
          <w:color w:val="000000"/>
        </w:rPr>
      </w:pPr>
      <w:r>
        <w:rPr>
          <w:color w:val="000000"/>
        </w:rPr>
        <w:t>Matriz 1 – Experiencia</w:t>
      </w:r>
    </w:p>
    <w:p w:rsidR="00522688" w:rsidRDefault="004E4FBB">
      <w:pPr>
        <w:numPr>
          <w:ilvl w:val="0"/>
          <w:numId w:val="34"/>
        </w:numPr>
        <w:pBdr>
          <w:top w:val="nil"/>
          <w:left w:val="nil"/>
          <w:bottom w:val="nil"/>
          <w:right w:val="nil"/>
          <w:between w:val="nil"/>
        </w:pBdr>
        <w:ind w:left="709" w:hanging="567"/>
        <w:rPr>
          <w:color w:val="000000"/>
        </w:rPr>
      </w:pPr>
      <w:r>
        <w:rPr>
          <w:color w:val="000000"/>
        </w:rPr>
        <w:t>Matriz 2 – Indicadores financieros y organizacionales</w:t>
      </w:r>
    </w:p>
    <w:p w:rsidR="00522688" w:rsidRDefault="004E4FBB">
      <w:pPr>
        <w:numPr>
          <w:ilvl w:val="0"/>
          <w:numId w:val="34"/>
        </w:numPr>
        <w:pBdr>
          <w:top w:val="nil"/>
          <w:left w:val="nil"/>
          <w:bottom w:val="nil"/>
          <w:right w:val="nil"/>
          <w:between w:val="nil"/>
        </w:pBdr>
        <w:ind w:left="709" w:hanging="567"/>
        <w:rPr>
          <w:color w:val="000000"/>
        </w:rPr>
      </w:pPr>
      <w:r>
        <w:rPr>
          <w:color w:val="000000"/>
        </w:rPr>
        <w:t xml:space="preserve">Matriz 3 – Riesgos </w:t>
      </w:r>
    </w:p>
    <w:p w:rsidR="00522688" w:rsidRDefault="004E4FBB">
      <w:pPr>
        <w:numPr>
          <w:ilvl w:val="0"/>
          <w:numId w:val="34"/>
        </w:numPr>
        <w:pBdr>
          <w:top w:val="nil"/>
          <w:left w:val="nil"/>
          <w:bottom w:val="nil"/>
          <w:right w:val="nil"/>
          <w:between w:val="nil"/>
        </w:pBdr>
        <w:ind w:left="709" w:hanging="567"/>
        <w:rPr>
          <w:color w:val="000000"/>
        </w:rPr>
      </w:pPr>
      <w:r>
        <w:rPr>
          <w:color w:val="000000"/>
        </w:rPr>
        <w:t>Matriz 4 – Lineamientos de requisitos del personal</w:t>
      </w:r>
    </w:p>
    <w:p w:rsidR="00522688" w:rsidRDefault="00522688"/>
    <w:p w:rsidR="00522688" w:rsidRDefault="004E4FBB">
      <w:pPr>
        <w:pStyle w:val="Ttulo2"/>
        <w:numPr>
          <w:ilvl w:val="1"/>
          <w:numId w:val="35"/>
        </w:numPr>
      </w:pPr>
      <w:bookmarkStart w:id="99" w:name="_heading=h.2szc72q" w:colFirst="0" w:colLast="0"/>
      <w:bookmarkEnd w:id="99"/>
      <w:r>
        <w:t>FORMULARIOS</w:t>
      </w:r>
    </w:p>
    <w:p w:rsidR="00522688" w:rsidRDefault="00522688"/>
    <w:p w:rsidR="00522688" w:rsidRDefault="004E4FBB">
      <w:pPr>
        <w:numPr>
          <w:ilvl w:val="0"/>
          <w:numId w:val="36"/>
        </w:numPr>
        <w:pBdr>
          <w:top w:val="nil"/>
          <w:left w:val="nil"/>
          <w:bottom w:val="nil"/>
          <w:right w:val="nil"/>
          <w:between w:val="nil"/>
        </w:pBdr>
        <w:ind w:left="709" w:hanging="567"/>
        <w:rPr>
          <w:color w:val="000000"/>
        </w:rPr>
      </w:pPr>
      <w:r>
        <w:rPr>
          <w:color w:val="000000"/>
        </w:rPr>
        <w:t xml:space="preserve">Formulario </w:t>
      </w:r>
      <w:r>
        <w:rPr>
          <w:color w:val="000000"/>
        </w:rPr>
        <w:tab/>
        <w:t>1 – Formulario de propuesta económica</w:t>
      </w:r>
    </w:p>
    <w:p w:rsidR="00522688" w:rsidRDefault="00522688"/>
    <w:p w:rsidR="00522688" w:rsidRDefault="00522688"/>
    <w:p w:rsidR="00522688" w:rsidRDefault="00522688"/>
    <w:p w:rsidR="00522688" w:rsidRDefault="00522688"/>
    <w:p w:rsidR="00522688" w:rsidRDefault="00522688"/>
    <w:p w:rsidR="00522688" w:rsidRDefault="00522688">
      <w:pPr>
        <w:spacing w:line="236" w:lineRule="auto"/>
        <w:rPr>
          <w:rFonts w:ascii="Times New Roman" w:eastAsia="Times New Roman" w:hAnsi="Times New Roman" w:cs="Times New Roman"/>
        </w:rPr>
      </w:pPr>
    </w:p>
    <w:p w:rsidR="00522688" w:rsidRDefault="00522688"/>
    <w:sectPr w:rsidR="00522688">
      <w:headerReference w:type="even" r:id="rId17"/>
      <w:headerReference w:type="default" r:id="rId18"/>
      <w:footerReference w:type="even" r:id="rId19"/>
      <w:footerReference w:type="default" r:id="rId20"/>
      <w:headerReference w:type="first" r:id="rId21"/>
      <w:footerReference w:type="first" r:id="rId22"/>
      <w:pgSz w:w="12240" w:h="15840"/>
      <w:pgMar w:top="1418" w:right="1610"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FBB" w:rsidRDefault="004E4FBB">
      <w:r>
        <w:separator/>
      </w:r>
    </w:p>
  </w:endnote>
  <w:endnote w:type="continuationSeparator" w:id="0">
    <w:p w:rsidR="004E4FBB" w:rsidRDefault="004E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88" w:rsidRDefault="00522688">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88" w:rsidRDefault="004E4FBB">
    <w:pPr>
      <w:pBdr>
        <w:top w:val="nil"/>
        <w:left w:val="nil"/>
        <w:bottom w:val="nil"/>
        <w:right w:val="nil"/>
        <w:between w:val="nil"/>
      </w:pBdr>
      <w:tabs>
        <w:tab w:val="center" w:pos="4419"/>
        <w:tab w:val="right" w:pos="8838"/>
      </w:tabs>
      <w:rPr>
        <w:color w:val="000000"/>
      </w:rPr>
    </w:pPr>
    <w:r>
      <w:rPr>
        <w:color w:val="000000"/>
      </w:rPr>
      <w:tab/>
    </w:r>
    <w:r>
      <w:rPr>
        <w:color w:val="000000"/>
      </w:rPr>
      <w:fldChar w:fldCharType="begin"/>
    </w:r>
    <w:r>
      <w:rPr>
        <w:color w:val="000000"/>
      </w:rPr>
      <w:instrText>PAGE</w:instrText>
    </w:r>
    <w:r w:rsidR="007F3952">
      <w:rPr>
        <w:color w:val="000000"/>
      </w:rPr>
      <w:fldChar w:fldCharType="separate"/>
    </w:r>
    <w:r w:rsidR="007F3952">
      <w:rPr>
        <w:noProof/>
        <w:color w:val="000000"/>
      </w:rPr>
      <w:t>2</w:t>
    </w:r>
    <w:r>
      <w:rPr>
        <w:color w:val="000000"/>
      </w:rPr>
      <w:fldChar w:fldCharType="end"/>
    </w:r>
  </w:p>
  <w:tbl>
    <w:tblPr>
      <w:tblStyle w:val="af4"/>
      <w:tblW w:w="2267" w:type="dxa"/>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2267"/>
    </w:tblGrid>
    <w:tr w:rsidR="00522688">
      <w:trPr>
        <w:trHeight w:val="220"/>
      </w:trPr>
      <w:tc>
        <w:tcPr>
          <w:tcW w:w="2267" w:type="dxa"/>
          <w:tcBorders>
            <w:top w:val="dotted" w:sz="4" w:space="0" w:color="000000"/>
            <w:left w:val="dotted" w:sz="4" w:space="0" w:color="000000"/>
            <w:bottom w:val="dotted" w:sz="4" w:space="0" w:color="000000"/>
            <w:right w:val="dotted" w:sz="4" w:space="0" w:color="000000"/>
          </w:tcBorders>
        </w:tcPr>
        <w:p w:rsidR="00522688" w:rsidRDefault="004E4FBB">
          <w:pPr>
            <w:spacing w:after="4" w:line="246" w:lineRule="auto"/>
            <w:ind w:left="10" w:hanging="10"/>
            <w:rPr>
              <w:sz w:val="16"/>
              <w:szCs w:val="16"/>
            </w:rPr>
          </w:pPr>
          <w:r>
            <w:rPr>
              <w:sz w:val="16"/>
              <w:szCs w:val="16"/>
              <w:highlight w:val="lightGray"/>
            </w:rPr>
            <w:t>IDU-CMA-XXX-XXXX-202X</w:t>
          </w:r>
        </w:p>
      </w:tc>
    </w:tr>
  </w:tbl>
  <w:p w:rsidR="00522688" w:rsidRDefault="00522688">
    <w:pPr>
      <w:pBdr>
        <w:top w:val="nil"/>
        <w:left w:val="nil"/>
        <w:bottom w:val="nil"/>
        <w:right w:val="nil"/>
        <w:between w:val="nil"/>
      </w:pBdr>
      <w:tabs>
        <w:tab w:val="center" w:pos="4419"/>
        <w:tab w:val="right" w:pos="8838"/>
      </w:tabs>
      <w:rPr>
        <w:color w:val="000000"/>
      </w:rPr>
    </w:pPr>
  </w:p>
  <w:p w:rsidR="00522688" w:rsidRDefault="00522688">
    <w:pPr>
      <w:pBdr>
        <w:top w:val="nil"/>
        <w:left w:val="nil"/>
        <w:bottom w:val="nil"/>
        <w:right w:val="nil"/>
        <w:between w:val="nil"/>
      </w:pBdr>
      <w:tabs>
        <w:tab w:val="center" w:pos="4419"/>
        <w:tab w:val="right" w:pos="8838"/>
      </w:tabs>
      <w:jc w:val="left"/>
      <w:rPr>
        <w:color w:val="000000"/>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88" w:rsidRDefault="00522688">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FBB" w:rsidRDefault="004E4FBB">
      <w:r>
        <w:separator/>
      </w:r>
    </w:p>
  </w:footnote>
  <w:footnote w:type="continuationSeparator" w:id="0">
    <w:p w:rsidR="004E4FBB" w:rsidRDefault="004E4F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88" w:rsidRDefault="00522688">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88" w:rsidRDefault="00522688">
    <w:pPr>
      <w:widowControl w:val="0"/>
      <w:pBdr>
        <w:top w:val="nil"/>
        <w:left w:val="nil"/>
        <w:bottom w:val="nil"/>
        <w:right w:val="nil"/>
        <w:between w:val="nil"/>
      </w:pBdr>
      <w:spacing w:line="276" w:lineRule="auto"/>
      <w:jc w:val="left"/>
    </w:pPr>
  </w:p>
  <w:tbl>
    <w:tblPr>
      <w:tblStyle w:val="af3"/>
      <w:tblW w:w="8657" w:type="dxa"/>
      <w:jc w:val="center"/>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1842"/>
      <w:gridCol w:w="2689"/>
      <w:gridCol w:w="4126"/>
    </w:tblGrid>
    <w:tr w:rsidR="007F3952" w:rsidTr="00083A4C">
      <w:trPr>
        <w:trHeight w:val="146"/>
        <w:jc w:val="center"/>
      </w:trPr>
      <w:tc>
        <w:tcPr>
          <w:tcW w:w="1842" w:type="dxa"/>
          <w:vMerge w:val="restart"/>
        </w:tcPr>
        <w:p w:rsidR="007F3952" w:rsidRDefault="007F3952">
          <w:pPr>
            <w:pBdr>
              <w:top w:val="nil"/>
              <w:left w:val="nil"/>
              <w:bottom w:val="nil"/>
              <w:right w:val="nil"/>
              <w:between w:val="nil"/>
            </w:pBdr>
            <w:tabs>
              <w:tab w:val="center" w:pos="4419"/>
              <w:tab w:val="right" w:pos="8838"/>
            </w:tabs>
            <w:jc w:val="center"/>
            <w:rPr>
              <w:rFonts w:eastAsia="Arial" w:cs="Arial"/>
              <w:b/>
              <w:color w:val="000000"/>
              <w:sz w:val="16"/>
              <w:szCs w:val="16"/>
            </w:rPr>
          </w:pPr>
          <w:r>
            <w:rPr>
              <w:noProof/>
            </w:rPr>
            <w:drawing>
              <wp:anchor distT="0" distB="0" distL="114300" distR="114300" simplePos="0" relativeHeight="251660288" behindDoc="0" locked="0" layoutInCell="1" hidden="0" allowOverlap="1" wp14:anchorId="75897430" wp14:editId="353B5CC2">
                <wp:simplePos x="0" y="0"/>
                <wp:positionH relativeFrom="column">
                  <wp:posOffset>-24764</wp:posOffset>
                </wp:positionH>
                <wp:positionV relativeFrom="paragraph">
                  <wp:posOffset>43815</wp:posOffset>
                </wp:positionV>
                <wp:extent cx="1080000" cy="503747"/>
                <wp:effectExtent l="0" t="0" r="0" b="0"/>
                <wp:wrapSquare wrapText="bothSides" distT="0" distB="0" distL="114300" distR="114300"/>
                <wp:docPr id="28" name="image1.png" descr="SELLO_50Años blanco-02.png"/>
                <wp:cNvGraphicFramePr/>
                <a:graphic xmlns:a="http://schemas.openxmlformats.org/drawingml/2006/main">
                  <a:graphicData uri="http://schemas.openxmlformats.org/drawingml/2006/picture">
                    <pic:pic xmlns:pic="http://schemas.openxmlformats.org/drawingml/2006/picture">
                      <pic:nvPicPr>
                        <pic:cNvPr id="0" name="image1.png" descr="SELLO_50Años blanco-02.png"/>
                        <pic:cNvPicPr preferRelativeResize="0"/>
                      </pic:nvPicPr>
                      <pic:blipFill>
                        <a:blip r:embed="rId1"/>
                        <a:srcRect l="5951" t="6501" r="9143" b="6952"/>
                        <a:stretch>
                          <a:fillRect/>
                        </a:stretch>
                      </pic:blipFill>
                      <pic:spPr>
                        <a:xfrm>
                          <a:off x="0" y="0"/>
                          <a:ext cx="1080000" cy="503747"/>
                        </a:xfrm>
                        <a:prstGeom prst="rect">
                          <a:avLst/>
                        </a:prstGeom>
                        <a:ln/>
                      </pic:spPr>
                    </pic:pic>
                  </a:graphicData>
                </a:graphic>
              </wp:anchor>
            </w:drawing>
          </w:r>
        </w:p>
      </w:tc>
      <w:tc>
        <w:tcPr>
          <w:tcW w:w="6815" w:type="dxa"/>
          <w:gridSpan w:val="2"/>
          <w:shd w:val="clear" w:color="auto" w:fill="auto"/>
          <w:vAlign w:val="center"/>
        </w:tcPr>
        <w:p w:rsidR="007F3952" w:rsidRDefault="007F3952">
          <w:pPr>
            <w:pBdr>
              <w:top w:val="nil"/>
              <w:left w:val="nil"/>
              <w:bottom w:val="nil"/>
              <w:right w:val="nil"/>
              <w:between w:val="nil"/>
            </w:pBdr>
            <w:tabs>
              <w:tab w:val="center" w:pos="4419"/>
              <w:tab w:val="right" w:pos="8838"/>
            </w:tabs>
            <w:jc w:val="center"/>
            <w:rPr>
              <w:rFonts w:eastAsia="Arial" w:cs="Arial"/>
              <w:b/>
              <w:color w:val="000000"/>
              <w:sz w:val="16"/>
              <w:szCs w:val="16"/>
            </w:rPr>
          </w:pPr>
          <w:r>
            <w:rPr>
              <w:rFonts w:eastAsia="Arial" w:cs="Arial"/>
              <w:b/>
              <w:color w:val="000000"/>
              <w:sz w:val="16"/>
              <w:szCs w:val="16"/>
            </w:rPr>
            <w:t xml:space="preserve">DOCUMENTO </w:t>
          </w:r>
        </w:p>
        <w:p w:rsidR="007F3952" w:rsidRDefault="007F3952">
          <w:pPr>
            <w:pBdr>
              <w:top w:val="nil"/>
              <w:left w:val="nil"/>
              <w:bottom w:val="nil"/>
              <w:right w:val="nil"/>
              <w:between w:val="nil"/>
            </w:pBdr>
            <w:tabs>
              <w:tab w:val="center" w:pos="4419"/>
              <w:tab w:val="right" w:pos="8838"/>
            </w:tabs>
            <w:jc w:val="center"/>
            <w:rPr>
              <w:rFonts w:eastAsia="Arial" w:cs="Arial"/>
              <w:b/>
              <w:color w:val="000000"/>
              <w:sz w:val="16"/>
              <w:szCs w:val="16"/>
            </w:rPr>
          </w:pPr>
          <w:r>
            <w:rPr>
              <w:rFonts w:eastAsia="Arial" w:cs="Arial"/>
              <w:b/>
              <w:color w:val="000000"/>
              <w:sz w:val="16"/>
              <w:szCs w:val="16"/>
            </w:rPr>
            <w:t>OTRAS CONSULTORIAS IDU</w:t>
          </w:r>
        </w:p>
      </w:tc>
    </w:tr>
    <w:tr w:rsidR="007F3952" w:rsidTr="00DB47BD">
      <w:trPr>
        <w:trHeight w:val="234"/>
        <w:jc w:val="center"/>
      </w:trPr>
      <w:tc>
        <w:tcPr>
          <w:tcW w:w="1842" w:type="dxa"/>
          <w:vMerge/>
        </w:tcPr>
        <w:p w:rsidR="007F3952" w:rsidRDefault="007F3952">
          <w:pPr>
            <w:widowControl w:val="0"/>
            <w:pBdr>
              <w:top w:val="nil"/>
              <w:left w:val="nil"/>
              <w:bottom w:val="nil"/>
              <w:right w:val="nil"/>
              <w:between w:val="nil"/>
            </w:pBdr>
            <w:spacing w:line="276" w:lineRule="auto"/>
            <w:jc w:val="left"/>
            <w:rPr>
              <w:rFonts w:eastAsia="Arial" w:cs="Arial"/>
              <w:b/>
              <w:color w:val="000000"/>
              <w:sz w:val="16"/>
              <w:szCs w:val="16"/>
            </w:rPr>
          </w:pPr>
        </w:p>
      </w:tc>
      <w:tc>
        <w:tcPr>
          <w:tcW w:w="2689" w:type="dxa"/>
          <w:shd w:val="clear" w:color="auto" w:fill="auto"/>
          <w:vAlign w:val="center"/>
        </w:tcPr>
        <w:p w:rsidR="007F3952" w:rsidRDefault="007F3952">
          <w:pPr>
            <w:spacing w:after="4" w:line="249" w:lineRule="auto"/>
            <w:ind w:left="10" w:hanging="10"/>
            <w:jc w:val="center"/>
            <w:rPr>
              <w:b/>
              <w:sz w:val="16"/>
              <w:szCs w:val="16"/>
            </w:rPr>
          </w:pPr>
          <w:r>
            <w:rPr>
              <w:b/>
              <w:sz w:val="16"/>
              <w:szCs w:val="16"/>
            </w:rPr>
            <w:t>Página</w:t>
          </w:r>
        </w:p>
      </w:tc>
      <w:tc>
        <w:tcPr>
          <w:tcW w:w="4126" w:type="dxa"/>
          <w:shd w:val="clear" w:color="auto" w:fill="auto"/>
          <w:vAlign w:val="center"/>
        </w:tcPr>
        <w:p w:rsidR="007F3952" w:rsidRDefault="007F3952">
          <w:pPr>
            <w:widowControl w:val="0"/>
            <w:pBdr>
              <w:top w:val="nil"/>
              <w:left w:val="nil"/>
              <w:bottom w:val="nil"/>
              <w:right w:val="nil"/>
              <w:between w:val="nil"/>
            </w:pBdr>
            <w:spacing w:line="276" w:lineRule="auto"/>
            <w:jc w:val="left"/>
            <w:rPr>
              <w:sz w:val="16"/>
              <w:szCs w:val="16"/>
            </w:rPr>
          </w:pPr>
          <w:r>
            <w:rPr>
              <w:sz w:val="16"/>
              <w:szCs w:val="16"/>
            </w:rPr>
            <w:fldChar w:fldCharType="begin"/>
          </w:r>
          <w:r>
            <w:rPr>
              <w:sz w:val="16"/>
              <w:szCs w:val="16"/>
            </w:rPr>
            <w:instrText>PAGE</w:instrText>
          </w:r>
          <w:r>
            <w:rPr>
              <w:sz w:val="16"/>
              <w:szCs w:val="16"/>
            </w:rPr>
            <w:fldChar w:fldCharType="separate"/>
          </w:r>
          <w:r>
            <w:rPr>
              <w:noProof/>
              <w:sz w:val="16"/>
              <w:szCs w:val="16"/>
            </w:rPr>
            <w:t>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Pr>
              <w:noProof/>
              <w:sz w:val="16"/>
              <w:szCs w:val="16"/>
            </w:rPr>
            <w:t>73</w:t>
          </w:r>
          <w:r>
            <w:rPr>
              <w:sz w:val="16"/>
              <w:szCs w:val="16"/>
            </w:rPr>
            <w:fldChar w:fldCharType="end"/>
          </w:r>
        </w:p>
      </w:tc>
    </w:tr>
  </w:tbl>
  <w:p w:rsidR="00522688" w:rsidRDefault="00522688">
    <w:pPr>
      <w:pBdr>
        <w:top w:val="nil"/>
        <w:left w:val="nil"/>
        <w:bottom w:val="nil"/>
        <w:right w:val="nil"/>
        <w:between w:val="nil"/>
      </w:pBdr>
      <w:tabs>
        <w:tab w:val="center" w:pos="4419"/>
        <w:tab w:val="right" w:pos="8838"/>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88" w:rsidRDefault="00522688">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678"/>
    <w:multiLevelType w:val="multilevel"/>
    <w:tmpl w:val="226611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2960EC"/>
    <w:multiLevelType w:val="multilevel"/>
    <w:tmpl w:val="2C4259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6D4988"/>
    <w:multiLevelType w:val="multilevel"/>
    <w:tmpl w:val="4CD2687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9021E"/>
    <w:multiLevelType w:val="multilevel"/>
    <w:tmpl w:val="D3C23B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upperRoman"/>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753398"/>
    <w:multiLevelType w:val="multilevel"/>
    <w:tmpl w:val="0D608BEA"/>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5" w15:restartNumberingAfterBreak="0">
    <w:nsid w:val="08820CCD"/>
    <w:multiLevelType w:val="multilevel"/>
    <w:tmpl w:val="983495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CA66C53"/>
    <w:multiLevelType w:val="multilevel"/>
    <w:tmpl w:val="00C61D46"/>
    <w:lvl w:ilvl="0">
      <w:start w:val="1"/>
      <w:numFmt w:val="upperRoman"/>
      <w:lvlText w:val="%1."/>
      <w:lvlJc w:val="left"/>
      <w:pPr>
        <w:ind w:left="1080" w:hanging="720"/>
      </w:pPr>
    </w:lvl>
    <w:lvl w:ilvl="1">
      <w:start w:val="1"/>
      <w:numFmt w:val="upperLetter"/>
      <w:lvlText w:val="%2."/>
      <w:lvlJc w:val="left"/>
      <w:pPr>
        <w:ind w:left="1785" w:hanging="705"/>
      </w:pPr>
    </w:lvl>
    <w:lvl w:ilvl="2">
      <w:start w:val="3"/>
      <w:numFmt w:val="bullet"/>
      <w:lvlText w:val="-"/>
      <w:lvlJc w:val="left"/>
      <w:pPr>
        <w:ind w:left="2685" w:hanging="705"/>
      </w:pPr>
      <w:rPr>
        <w:rFonts w:ascii="Arial" w:eastAsia="Arial"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174A56"/>
    <w:multiLevelType w:val="multilevel"/>
    <w:tmpl w:val="19C04A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0F5C7295"/>
    <w:multiLevelType w:val="multilevel"/>
    <w:tmpl w:val="0DB88D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13B25FC"/>
    <w:multiLevelType w:val="multilevel"/>
    <w:tmpl w:val="DCB6C22E"/>
    <w:lvl w:ilvl="0">
      <w:start w:val="1"/>
      <w:numFmt w:val="upperRoman"/>
      <w:lvlText w:val="%1."/>
      <w:lvlJc w:val="left"/>
      <w:pPr>
        <w:ind w:left="1080" w:hanging="72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left"/>
      <w:pPr>
        <w:ind w:left="2700" w:hanging="720"/>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C336A8"/>
    <w:multiLevelType w:val="multilevel"/>
    <w:tmpl w:val="105E33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332F65"/>
    <w:multiLevelType w:val="multilevel"/>
    <w:tmpl w:val="DD5E160E"/>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AD75FA"/>
    <w:multiLevelType w:val="multilevel"/>
    <w:tmpl w:val="8CB4771E"/>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BF65184"/>
    <w:multiLevelType w:val="multilevel"/>
    <w:tmpl w:val="00064C9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325A28"/>
    <w:multiLevelType w:val="multilevel"/>
    <w:tmpl w:val="0C9292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1E1CB6"/>
    <w:multiLevelType w:val="multilevel"/>
    <w:tmpl w:val="3C7E2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2026B1"/>
    <w:multiLevelType w:val="multilevel"/>
    <w:tmpl w:val="2070B21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FF00FA"/>
    <w:multiLevelType w:val="multilevel"/>
    <w:tmpl w:val="2E8878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AB2A0E"/>
    <w:multiLevelType w:val="multilevel"/>
    <w:tmpl w:val="09B49BF8"/>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AE729B9"/>
    <w:multiLevelType w:val="multilevel"/>
    <w:tmpl w:val="94D2E79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B25579B"/>
    <w:multiLevelType w:val="multilevel"/>
    <w:tmpl w:val="42AAFDC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F3670B"/>
    <w:multiLevelType w:val="multilevel"/>
    <w:tmpl w:val="AC90C37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396ABB"/>
    <w:multiLevelType w:val="multilevel"/>
    <w:tmpl w:val="B9789ED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3613D8E"/>
    <w:multiLevelType w:val="multilevel"/>
    <w:tmpl w:val="4448EB94"/>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3DA6044"/>
    <w:multiLevelType w:val="multilevel"/>
    <w:tmpl w:val="C3BC774E"/>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463691B"/>
    <w:multiLevelType w:val="multilevel"/>
    <w:tmpl w:val="09DED30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C24772D"/>
    <w:multiLevelType w:val="multilevel"/>
    <w:tmpl w:val="9336EE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CA25208"/>
    <w:multiLevelType w:val="multilevel"/>
    <w:tmpl w:val="86AE51D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CE700F"/>
    <w:multiLevelType w:val="multilevel"/>
    <w:tmpl w:val="77CAF378"/>
    <w:lvl w:ilvl="0">
      <w:start w:val="1"/>
      <w:numFmt w:val="upperRoman"/>
      <w:pStyle w:val="Ttulo1"/>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6637FB"/>
    <w:multiLevelType w:val="multilevel"/>
    <w:tmpl w:val="92CE507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4868D0"/>
    <w:multiLevelType w:val="multilevel"/>
    <w:tmpl w:val="6144F85A"/>
    <w:lvl w:ilvl="0">
      <w:start w:val="1"/>
      <w:numFmt w:val="upperRoman"/>
      <w:lvlText w:val="%1."/>
      <w:lvlJc w:val="left"/>
      <w:pPr>
        <w:ind w:left="1080" w:hanging="720"/>
      </w:pPr>
    </w:lvl>
    <w:lvl w:ilvl="1">
      <w:start w:val="4"/>
      <w:numFmt w:val="bullet"/>
      <w:lvlText w:val="•"/>
      <w:lvlJc w:val="left"/>
      <w:pPr>
        <w:ind w:left="1785" w:hanging="705"/>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8D60EA"/>
    <w:multiLevelType w:val="multilevel"/>
    <w:tmpl w:val="56C8CD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EB7D47"/>
    <w:multiLevelType w:val="multilevel"/>
    <w:tmpl w:val="AF780D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F2F7863"/>
    <w:multiLevelType w:val="multilevel"/>
    <w:tmpl w:val="82289A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041225A"/>
    <w:multiLevelType w:val="multilevel"/>
    <w:tmpl w:val="324E475E"/>
    <w:lvl w:ilvl="0">
      <w:start w:val="1"/>
      <w:numFmt w:val="decimal"/>
      <w:lvlText w:val="%1."/>
      <w:lvlJc w:val="left"/>
      <w:pPr>
        <w:ind w:left="1854" w:hanging="360"/>
      </w:pPr>
      <w:rPr>
        <w:color w:val="FFFFFF"/>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35" w15:restartNumberingAfterBreak="0">
    <w:nsid w:val="51556083"/>
    <w:multiLevelType w:val="multilevel"/>
    <w:tmpl w:val="851ABB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F639E0"/>
    <w:multiLevelType w:val="multilevel"/>
    <w:tmpl w:val="2C90FB9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26721A"/>
    <w:multiLevelType w:val="multilevel"/>
    <w:tmpl w:val="23F85B7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D1E21D0"/>
    <w:multiLevelType w:val="multilevel"/>
    <w:tmpl w:val="CAEEAD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E547836"/>
    <w:multiLevelType w:val="multilevel"/>
    <w:tmpl w:val="27344DA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D05FD4"/>
    <w:multiLevelType w:val="multilevel"/>
    <w:tmpl w:val="414A286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27D2585"/>
    <w:multiLevelType w:val="multilevel"/>
    <w:tmpl w:val="5512167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5565B6D"/>
    <w:multiLevelType w:val="multilevel"/>
    <w:tmpl w:val="4AAE5170"/>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9CF0426"/>
    <w:multiLevelType w:val="multilevel"/>
    <w:tmpl w:val="9E6C20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BC95BDA"/>
    <w:multiLevelType w:val="multilevel"/>
    <w:tmpl w:val="12BC280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E4E7294"/>
    <w:multiLevelType w:val="multilevel"/>
    <w:tmpl w:val="E13C6D74"/>
    <w:lvl w:ilvl="0">
      <w:start w:val="1"/>
      <w:numFmt w:val="upperRoman"/>
      <w:lvlText w:val="CAPÍTULO %1. "/>
      <w:lvlJc w:val="right"/>
      <w:pPr>
        <w:ind w:left="659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FB54C8D"/>
    <w:multiLevelType w:val="multilevel"/>
    <w:tmpl w:val="F31AEEC4"/>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1EC3AC3"/>
    <w:multiLevelType w:val="multilevel"/>
    <w:tmpl w:val="1BCA534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8C343D"/>
    <w:multiLevelType w:val="multilevel"/>
    <w:tmpl w:val="9128549A"/>
    <w:lvl w:ilvl="0">
      <w:start w:val="1"/>
      <w:numFmt w:val="upperRoman"/>
      <w:lvlText w:val="%1."/>
      <w:lvlJc w:val="right"/>
      <w:pPr>
        <w:ind w:left="720" w:hanging="360"/>
      </w:pPr>
    </w:lvl>
    <w:lvl w:ilvl="1">
      <w:start w:val="2"/>
      <w:numFmt w:val="decimal"/>
      <w:lvlText w:val="%1.%2."/>
      <w:lvlJc w:val="left"/>
      <w:pPr>
        <w:ind w:left="855" w:hanging="49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7556451F"/>
    <w:multiLevelType w:val="multilevel"/>
    <w:tmpl w:val="F6886EF8"/>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CD64DE"/>
    <w:multiLevelType w:val="multilevel"/>
    <w:tmpl w:val="C1FEAD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B2052B2"/>
    <w:multiLevelType w:val="multilevel"/>
    <w:tmpl w:val="7F4A98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8"/>
  </w:num>
  <w:num w:numId="2">
    <w:abstractNumId w:val="2"/>
  </w:num>
  <w:num w:numId="3">
    <w:abstractNumId w:val="8"/>
  </w:num>
  <w:num w:numId="4">
    <w:abstractNumId w:val="27"/>
  </w:num>
  <w:num w:numId="5">
    <w:abstractNumId w:val="41"/>
  </w:num>
  <w:num w:numId="6">
    <w:abstractNumId w:val="47"/>
  </w:num>
  <w:num w:numId="7">
    <w:abstractNumId w:val="43"/>
  </w:num>
  <w:num w:numId="8">
    <w:abstractNumId w:val="31"/>
  </w:num>
  <w:num w:numId="9">
    <w:abstractNumId w:val="44"/>
  </w:num>
  <w:num w:numId="10">
    <w:abstractNumId w:val="35"/>
  </w:num>
  <w:num w:numId="11">
    <w:abstractNumId w:val="42"/>
  </w:num>
  <w:num w:numId="12">
    <w:abstractNumId w:val="32"/>
  </w:num>
  <w:num w:numId="13">
    <w:abstractNumId w:val="38"/>
  </w:num>
  <w:num w:numId="14">
    <w:abstractNumId w:val="45"/>
  </w:num>
  <w:num w:numId="15">
    <w:abstractNumId w:val="22"/>
  </w:num>
  <w:num w:numId="16">
    <w:abstractNumId w:val="0"/>
  </w:num>
  <w:num w:numId="17">
    <w:abstractNumId w:val="36"/>
  </w:num>
  <w:num w:numId="18">
    <w:abstractNumId w:val="17"/>
  </w:num>
  <w:num w:numId="19">
    <w:abstractNumId w:val="5"/>
  </w:num>
  <w:num w:numId="20">
    <w:abstractNumId w:val="40"/>
  </w:num>
  <w:num w:numId="21">
    <w:abstractNumId w:val="20"/>
  </w:num>
  <w:num w:numId="22">
    <w:abstractNumId w:val="3"/>
  </w:num>
  <w:num w:numId="23">
    <w:abstractNumId w:val="19"/>
  </w:num>
  <w:num w:numId="24">
    <w:abstractNumId w:val="14"/>
  </w:num>
  <w:num w:numId="25">
    <w:abstractNumId w:val="37"/>
  </w:num>
  <w:num w:numId="26">
    <w:abstractNumId w:val="39"/>
  </w:num>
  <w:num w:numId="27">
    <w:abstractNumId w:val="51"/>
  </w:num>
  <w:num w:numId="28">
    <w:abstractNumId w:val="15"/>
  </w:num>
  <w:num w:numId="29">
    <w:abstractNumId w:val="12"/>
  </w:num>
  <w:num w:numId="30">
    <w:abstractNumId w:val="7"/>
  </w:num>
  <w:num w:numId="31">
    <w:abstractNumId w:val="4"/>
  </w:num>
  <w:num w:numId="32">
    <w:abstractNumId w:val="11"/>
  </w:num>
  <w:num w:numId="33">
    <w:abstractNumId w:val="34"/>
  </w:num>
  <w:num w:numId="34">
    <w:abstractNumId w:val="23"/>
  </w:num>
  <w:num w:numId="35">
    <w:abstractNumId w:val="18"/>
  </w:num>
  <w:num w:numId="36">
    <w:abstractNumId w:val="49"/>
  </w:num>
  <w:num w:numId="37">
    <w:abstractNumId w:val="33"/>
  </w:num>
  <w:num w:numId="38">
    <w:abstractNumId w:val="48"/>
  </w:num>
  <w:num w:numId="39">
    <w:abstractNumId w:val="1"/>
  </w:num>
  <w:num w:numId="40">
    <w:abstractNumId w:val="46"/>
  </w:num>
  <w:num w:numId="41">
    <w:abstractNumId w:val="24"/>
  </w:num>
  <w:num w:numId="42">
    <w:abstractNumId w:val="26"/>
  </w:num>
  <w:num w:numId="43">
    <w:abstractNumId w:val="25"/>
  </w:num>
  <w:num w:numId="44">
    <w:abstractNumId w:val="30"/>
  </w:num>
  <w:num w:numId="45">
    <w:abstractNumId w:val="9"/>
  </w:num>
  <w:num w:numId="46">
    <w:abstractNumId w:val="6"/>
  </w:num>
  <w:num w:numId="47">
    <w:abstractNumId w:val="21"/>
  </w:num>
  <w:num w:numId="48">
    <w:abstractNumId w:val="50"/>
  </w:num>
  <w:num w:numId="49">
    <w:abstractNumId w:val="16"/>
  </w:num>
  <w:num w:numId="50">
    <w:abstractNumId w:val="13"/>
  </w:num>
  <w:num w:numId="51">
    <w:abstractNumId w:val="29"/>
  </w:num>
  <w:num w:numId="5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688"/>
    <w:rsid w:val="004E4FBB"/>
    <w:rsid w:val="00522688"/>
    <w:rsid w:val="007F39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3646C4-AC0D-462C-8659-7900F3731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CO"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A05"/>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rPr>
  </w:style>
  <w:style w:type="table" w:customStyle="1" w:styleId="Tablaconcuadrcula1">
    <w:name w:val="Tabla con cuadrícula1"/>
    <w:basedOn w:val="Tablanormal"/>
    <w:next w:val="Tablaconcuadrcula"/>
    <w:uiPriority w:val="59"/>
    <w:rsid w:val="000E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0">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1">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2">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3">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4">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5">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6">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7">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8">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9">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a">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b">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c">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d">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e">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0">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1">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2">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3">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4">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anda.com/lang/es/currency/converte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23" Type="http://schemas.openxmlformats.org/officeDocument/2006/relationships/fontTable" Target="fontTable.xm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6n7uHnOotlJsMZ9pGATIr7XuVg==">AMUW2mVd/07KP427XE4pVchRfgOSUx2i8xMNFw2G5mhaAKsLEoJxb2D24oo9xdiBs2jkaPp5MQrxGj87YWZvqO77GNq9aGo1CpZU13zknyULYpzOhin17NC/JxX6xWMkLudsSnMlprPE+i0uUtSS5asfHqk7WKi0RheNL5l6lDbJFcRpIMfMZ8L8dPhic4w+Q3G1YlQ4lPAHuEgN9vq9r2U1u6D0EM5/3GDyVfXEdQIclIvxtqUyvYfqh+nsJ6T0+HVC5c2QOvLkGrdWk0c4ctCnuVs3Oq2L3e6pm6AOxfhp6PGHnq0a4+QDTp+KNyrb4LpcbUBINTTLOebyocM/FOtZCHiBElXfBpCM+auY+2gxmN+FT/uW4gTYTPJ9o4Bc1iG6iI7kjCudO06j0vfBNlRx26j7ldzAAK+qUJnCnm/n+uUYqH34fUQN/JSaRjga18aRyiRdLF6MHMLwITx6q8gHO4bWrdhIHkrv2Zi0o0GfLl8M0VMtRB6k5VKp1tiMfTHF2OZWMWjYyVktzvs6CJYm0YwXAY0IdIqne7pagNamtdOBQvgY80bj6FpHInvvsN4B6wj8f+j8hp7vQ9qNcEcGqPQu3TvXLaeaUV/v5/FxRZkKs/sovOwaD7oqZFEy3MdF3Wz9X2nXsmZkFT6HtRxn7+8JNIKxrJo85kQX8cSBhw2WY3TMdVOouzc9Bk75u1bJjWxfYDNuUmO4519tMoqmoQ3ymdoZC6ixSM1/WCc/vssRrTyfCZp0521Qo3jGpt5hISJeTk8jZkjk1i4sN7FH671amI3iwxFoyaB95qVL7QGQNN7K/PQ18FgFaq7FDkH7oHbsCUaKxanHXbgYeUrDtWvw3hyhEwrdwoxVHyRJ8GuOvmUlwpWX8XOL6R31CzbKSzZaOK8jFaD6jx7TuJLD7jGFdp2tW6DimQ+cwVRhKGMt3/KwRTRS1Tw3tpUPhRJoNo02+wd6LHNn4J8l/APZb5e2ZODnex8LueEXsqhJbkhjLmsInQti0ZzAOmW4RvglSVT9A21iFY9xWLv94vlWZnMqGCSL4dlHGP8rePL6lBso1Mu6JtqsbbS/x2ImiwMZ/XIDK0Fvi5N+cMFTSuO96Gz+YqdI5zL7ynJzaUHl211Sfs2J7+cDwpYtKw/ilOmQ11PVugq3TTBqDYc5vLpBbMDBW+cn/TL92oTUIBLYdxaxuxnT7ESREjsvXG5yV/o5WJ4elpzfLo/bfYq6TfHc4eW65vp1i4sVw7e919Xy3v4t70THH8mYKdZYdPAHjmAAIqmoxUih/Lgw3O/d6pn9856wyS4G/oULSQjQM6t0M8dnJvMG6V1ZmUKopQk6clBYB4JoMjpNE5ZMN/enfAHR+jieU1mOAF3wsMSfLqTI31BT6JvqDsQlCRQrBvW+Vye/pzg463pXszBEJ/XOfpaJHz1dr91up8ClVXH7LqFTBp/BfgsYha0oe1YvXdVxZHprUfVJrlQJO8UT3qYNlZeIoB0b5ieksi+aGwFkfYU9DEDEyblW/lysgAWjXe9uuDB/O805UaZDDwX/NE3xdcoQpHZli7jvC47AhvY1aGvMP91YsCIINmw6GhF6m66dsyx2eAbrK8U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32992</Words>
  <Characters>181458</Characters>
  <Application>Microsoft Office Word</Application>
  <DocSecurity>0</DocSecurity>
  <Lines>1512</Lines>
  <Paragraphs>428</Paragraphs>
  <ScaleCrop>false</ScaleCrop>
  <Company/>
  <LinksUpToDate>false</LinksUpToDate>
  <CharactersWithSpaces>214022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 Gutiérrez</dc:creator>
  <cp:lastModifiedBy>Fernando Andres Herrera Cortes</cp:lastModifiedBy>
  <cp:revision>2</cp:revision>
  <dcterms:created xsi:type="dcterms:W3CDTF">2022-08-11T15:19:00Z</dcterms:created>
  <dcterms:modified xsi:type="dcterms:W3CDTF">2023-03-21T20:27:00Z</dcterms:modified>
</cp:coreProperties>
</file>